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7F6F81EB" w:rsidR="006358BA" w:rsidRDefault="006F1C9E"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3GPP TSG-RAN WG4 Meeting 9</w:t>
      </w:r>
      <w:r w:rsidR="004C54D6">
        <w:rPr>
          <w:rFonts w:cs="Arial"/>
          <w:b/>
          <w:sz w:val="24"/>
          <w:szCs w:val="24"/>
        </w:rPr>
        <w:t>3</w:t>
      </w:r>
      <w:r w:rsidR="006358BA">
        <w:rPr>
          <w:b/>
          <w:i/>
          <w:noProof/>
          <w:sz w:val="28"/>
        </w:rPr>
        <w:tab/>
      </w:r>
      <w:r w:rsidR="00267E9F" w:rsidRPr="00267E9F">
        <w:rPr>
          <w:rFonts w:cs="Arial"/>
          <w:b/>
          <w:sz w:val="24"/>
          <w:szCs w:val="24"/>
        </w:rPr>
        <w:t>R4-19</w:t>
      </w:r>
      <w:r w:rsidR="00490E77">
        <w:rPr>
          <w:rFonts w:cs="Arial"/>
          <w:b/>
          <w:sz w:val="24"/>
          <w:szCs w:val="24"/>
        </w:rPr>
        <w:t>1</w:t>
      </w:r>
      <w:r w:rsidR="0039736A">
        <w:rPr>
          <w:rFonts w:cs="Arial"/>
          <w:b/>
          <w:sz w:val="24"/>
          <w:szCs w:val="24"/>
        </w:rPr>
        <w:t>3811</w:t>
      </w:r>
    </w:p>
    <w:p w14:paraId="31DCE6A5" w14:textId="558AB466" w:rsidR="00D415E5" w:rsidRDefault="00BB40EC" w:rsidP="00D415E5">
      <w:pPr>
        <w:pStyle w:val="CRCoverPage"/>
        <w:spacing w:after="0"/>
        <w:outlineLvl w:val="0"/>
        <w:rPr>
          <w:b/>
          <w:noProof/>
          <w:sz w:val="24"/>
        </w:rPr>
      </w:pPr>
      <w:r w:rsidRPr="00BB40EC">
        <w:rPr>
          <w:b/>
          <w:bCs/>
          <w:noProof/>
          <w:sz w:val="22"/>
          <w:lang w:eastAsia="zh-CN"/>
        </w:rPr>
        <w:t>Reno, USA, 18th – 22nd Nov, 2019</w:t>
      </w:r>
    </w:p>
    <w:p w14:paraId="70A7F93A" w14:textId="77777777" w:rsidR="007B1E88" w:rsidRDefault="007B1E88" w:rsidP="00BB40EC">
      <w:pPr>
        <w:tabs>
          <w:tab w:val="left" w:pos="1985"/>
        </w:tabs>
        <w:spacing w:after="0"/>
        <w:jc w:val="both"/>
        <w:rPr>
          <w:rFonts w:ascii="Arial" w:hAnsi="Arial" w:cs="Arial"/>
          <w:b/>
          <w:sz w:val="22"/>
        </w:rPr>
      </w:pPr>
      <w:bookmarkStart w:id="2" w:name="_GoBack"/>
      <w:bookmarkEnd w:id="2"/>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4B5DF3DA"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4C54D6">
        <w:rPr>
          <w:rFonts w:cs="Arial"/>
          <w:sz w:val="22"/>
        </w:rPr>
        <w:t xml:space="preserve">Introduction of New </w:t>
      </w:r>
      <w:r w:rsidR="0070099E">
        <w:rPr>
          <w:rFonts w:cs="Arial"/>
          <w:sz w:val="22"/>
        </w:rPr>
        <w:t xml:space="preserve">FR1 </w:t>
      </w:r>
      <w:r w:rsidR="004C54D6">
        <w:rPr>
          <w:rFonts w:cs="Arial"/>
          <w:sz w:val="22"/>
        </w:rPr>
        <w:t>Channel Bandwidths and Related SU</w:t>
      </w:r>
    </w:p>
    <w:p w14:paraId="73BCD5A1" w14:textId="400066FA" w:rsidR="0074607D" w:rsidRDefault="00675C27" w:rsidP="00BB40EC">
      <w:pPr>
        <w:spacing w:after="0"/>
        <w:ind w:left="1985" w:hanging="1985"/>
        <w:jc w:val="both"/>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7B1E88" w:rsidRPr="007B1E88">
        <w:rPr>
          <w:rFonts w:ascii="Arial" w:hAnsi="Arial" w:cs="Arial"/>
          <w:sz w:val="22"/>
        </w:rPr>
        <w:t>10.28.1 UE RF (38.101-1) [</w:t>
      </w:r>
      <w:r w:rsidR="00463E4C" w:rsidRPr="00463E4C">
        <w:rPr>
          <w:rFonts w:ascii="Arial" w:hAnsi="Arial" w:cs="Arial"/>
          <w:sz w:val="22"/>
        </w:rPr>
        <w:t>NR_n25_BW</w:t>
      </w:r>
      <w:r w:rsidR="007B1E88" w:rsidRPr="007B1E88">
        <w:rPr>
          <w:rFonts w:ascii="Arial" w:hAnsi="Arial" w:cs="Arial"/>
          <w:sz w:val="22"/>
        </w:rPr>
        <w:t>]</w:t>
      </w:r>
    </w:p>
    <w:p w14:paraId="2E5C6AEA" w14:textId="132D71D6"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C54D6">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ED4AF5A" w14:textId="0563B608" w:rsidR="00792639" w:rsidRPr="00792639" w:rsidRDefault="009A30BB" w:rsidP="00712FBC">
      <w:pPr>
        <w:overflowPunct/>
        <w:autoSpaceDE/>
        <w:autoSpaceDN/>
        <w:adjustRightInd/>
        <w:spacing w:after="0"/>
        <w:jc w:val="both"/>
        <w:textAlignment w:val="auto"/>
        <w:rPr>
          <w:lang w:eastAsia="zh-CN"/>
        </w:rPr>
      </w:pPr>
      <w:r>
        <w:rPr>
          <w:rFonts w:eastAsia="SimSun"/>
          <w:lang w:eastAsia="zh-CN"/>
        </w:rPr>
        <w:t>In RAN</w:t>
      </w:r>
      <w:r w:rsidR="008063BB">
        <w:rPr>
          <w:rFonts w:eastAsia="SimSun"/>
          <w:lang w:eastAsia="zh-CN"/>
        </w:rPr>
        <w:t>4</w:t>
      </w:r>
      <w:r w:rsidR="00154E81">
        <w:rPr>
          <w:rFonts w:eastAsia="SimSun"/>
          <w:lang w:eastAsia="zh-CN"/>
        </w:rPr>
        <w:t>#</w:t>
      </w:r>
      <w:r w:rsidR="008063BB">
        <w:rPr>
          <w:rFonts w:eastAsia="SimSun"/>
          <w:lang w:eastAsia="zh-CN"/>
        </w:rPr>
        <w:t>92b</w:t>
      </w:r>
      <w:r w:rsidR="00154E81">
        <w:rPr>
          <w:rFonts w:eastAsia="SimSun"/>
          <w:lang w:eastAsia="zh-CN"/>
        </w:rPr>
        <w:t xml:space="preserve"> meeting</w:t>
      </w:r>
      <w:r>
        <w:rPr>
          <w:rFonts w:eastAsia="SimSun"/>
          <w:lang w:eastAsia="zh-CN"/>
        </w:rPr>
        <w:t xml:space="preserve">, </w:t>
      </w:r>
      <w:r w:rsidR="008063BB">
        <w:rPr>
          <w:rFonts w:eastAsia="SimSun"/>
          <w:lang w:eastAsia="zh-CN"/>
        </w:rPr>
        <w:t>the introduction of a brand new channel bandwidth of 35</w:t>
      </w:r>
      <w:r w:rsidR="00AB0051">
        <w:rPr>
          <w:rFonts w:eastAsia="SimSun"/>
          <w:lang w:eastAsia="zh-CN"/>
        </w:rPr>
        <w:t xml:space="preserve"> </w:t>
      </w:r>
      <w:r w:rsidR="008063BB">
        <w:rPr>
          <w:rFonts w:eastAsia="SimSun"/>
          <w:lang w:eastAsia="zh-CN"/>
        </w:rPr>
        <w:t xml:space="preserve">MHz for </w:t>
      </w:r>
      <w:r w:rsidR="009E13D0">
        <w:rPr>
          <w:rFonts w:eastAsia="SimSun"/>
          <w:lang w:eastAsia="zh-CN"/>
        </w:rPr>
        <w:t>B</w:t>
      </w:r>
      <w:r w:rsidR="008063BB">
        <w:rPr>
          <w:rFonts w:eastAsia="SimSun"/>
          <w:lang w:eastAsia="zh-CN"/>
        </w:rPr>
        <w:t>and n25 [1] which was discussed in [4] and resulted in a more generic discussion about how these “brand new” channel bandwidths should be handled in RAN4</w:t>
      </w:r>
      <w:r w:rsidR="00E17C30">
        <w:rPr>
          <w:rFonts w:eastAsia="SimSun"/>
          <w:lang w:eastAsia="zh-CN"/>
        </w:rPr>
        <w:t>.</w:t>
      </w:r>
      <w:r w:rsidR="000058AD">
        <w:rPr>
          <w:rFonts w:eastAsia="SimSun"/>
          <w:lang w:eastAsia="zh-CN"/>
        </w:rPr>
        <w:t xml:space="preserve"> </w:t>
      </w:r>
      <w:r w:rsidR="008063BB">
        <w:rPr>
          <w:rFonts w:eastAsia="SimSun"/>
          <w:lang w:eastAsia="zh-CN"/>
        </w:rPr>
        <w:t>This discussion resulted in two separate way forwards [2, 3]</w:t>
      </w:r>
      <w:r w:rsidR="00792639">
        <w:rPr>
          <w:rFonts w:eastAsia="SimSun"/>
          <w:lang w:eastAsia="zh-CN"/>
        </w:rPr>
        <w:t>. In this contribution we make proposals for</w:t>
      </w:r>
      <w:r w:rsidR="00712FBC">
        <w:rPr>
          <w:rFonts w:eastAsia="SimSun"/>
          <w:lang w:eastAsia="zh-CN"/>
        </w:rPr>
        <w:t xml:space="preserve"> a </w:t>
      </w:r>
      <w:r w:rsidR="00712FBC">
        <w:rPr>
          <w:lang w:eastAsia="zh-CN"/>
        </w:rPr>
        <w:t>g</w:t>
      </w:r>
      <w:r w:rsidR="00792639">
        <w:rPr>
          <w:lang w:eastAsia="zh-CN"/>
        </w:rPr>
        <w:t>eneric approach to derive S</w:t>
      </w:r>
      <w:r w:rsidR="009E13D0">
        <w:rPr>
          <w:lang w:eastAsia="zh-CN"/>
        </w:rPr>
        <w:t xml:space="preserve">pectrum </w:t>
      </w:r>
      <w:r w:rsidR="00792639">
        <w:rPr>
          <w:lang w:eastAsia="zh-CN"/>
        </w:rPr>
        <w:t>U</w:t>
      </w:r>
      <w:r w:rsidR="009E13D0">
        <w:rPr>
          <w:lang w:eastAsia="zh-CN"/>
        </w:rPr>
        <w:t>tilization (SU)</w:t>
      </w:r>
      <w:r w:rsidR="00792639">
        <w:rPr>
          <w:lang w:eastAsia="zh-CN"/>
        </w:rPr>
        <w:t xml:space="preserve"> for new channel bandwidths</w:t>
      </w:r>
      <w:r w:rsidR="00712FBC">
        <w:rPr>
          <w:lang w:eastAsia="zh-CN"/>
        </w:rPr>
        <w:t>. We also discuss different a</w:t>
      </w:r>
      <w:r w:rsidR="00792639">
        <w:rPr>
          <w:lang w:eastAsia="zh-CN"/>
        </w:rPr>
        <w:t>lternatives for new channel bandwidth support on the UE side</w:t>
      </w:r>
      <w:r w:rsidR="0039736A">
        <w:rPr>
          <w:lang w:eastAsia="zh-CN"/>
        </w:rPr>
        <w:t>.</w:t>
      </w:r>
    </w:p>
    <w:p w14:paraId="34099A5E" w14:textId="10D54927" w:rsidR="00FC6372" w:rsidRDefault="00853ECB" w:rsidP="00FC6372">
      <w:pPr>
        <w:pStyle w:val="Heading1"/>
        <w:jc w:val="both"/>
        <w:rPr>
          <w:rFonts w:eastAsia="SimSun"/>
          <w:lang w:eastAsia="zh-CN"/>
        </w:rPr>
      </w:pPr>
      <w:r>
        <w:rPr>
          <w:rFonts w:eastAsia="SimSun" w:hint="eastAsia"/>
          <w:lang w:eastAsia="zh-CN"/>
        </w:rPr>
        <w:t>Discussion</w:t>
      </w:r>
    </w:p>
    <w:p w14:paraId="5E73065C" w14:textId="58632B73" w:rsidR="006C7219" w:rsidRDefault="009354D6" w:rsidP="000058AD">
      <w:pPr>
        <w:spacing w:after="0"/>
        <w:jc w:val="both"/>
        <w:rPr>
          <w:lang w:eastAsia="ja-JP"/>
        </w:rPr>
      </w:pPr>
      <w:r>
        <w:rPr>
          <w:rFonts w:eastAsia="SimSun"/>
          <w:lang w:eastAsia="zh-CN"/>
        </w:rPr>
        <w:t xml:space="preserve">The </w:t>
      </w:r>
      <w:r w:rsidR="000058AD">
        <w:rPr>
          <w:rFonts w:eastAsia="SimSun"/>
          <w:lang w:eastAsia="zh-CN"/>
        </w:rPr>
        <w:t>n25 WI</w:t>
      </w:r>
      <w:r>
        <w:rPr>
          <w:rFonts w:eastAsia="SimSun"/>
          <w:lang w:eastAsia="zh-CN"/>
        </w:rPr>
        <w:t xml:space="preserve"> [1]</w:t>
      </w:r>
      <w:r w:rsidR="006C7219">
        <w:rPr>
          <w:rFonts w:eastAsia="SimSun"/>
          <w:lang w:eastAsia="zh-CN"/>
        </w:rPr>
        <w:t xml:space="preserve"> </w:t>
      </w:r>
      <w:r w:rsidR="000058AD">
        <w:rPr>
          <w:rFonts w:eastAsia="SimSun"/>
          <w:lang w:eastAsia="zh-CN"/>
        </w:rPr>
        <w:t xml:space="preserve">makes a request for support of current LTE </w:t>
      </w:r>
      <w:r w:rsidR="009E13D0">
        <w:rPr>
          <w:rFonts w:eastAsia="SimSun"/>
          <w:lang w:eastAsia="zh-CN"/>
        </w:rPr>
        <w:t xml:space="preserve">channel </w:t>
      </w:r>
      <w:r w:rsidR="000058AD">
        <w:rPr>
          <w:rFonts w:eastAsia="SimSun"/>
          <w:lang w:eastAsia="zh-CN"/>
        </w:rPr>
        <w:t xml:space="preserve">bandwidths of </w:t>
      </w:r>
      <w:r w:rsidR="000058AD" w:rsidRPr="00FE7713">
        <w:rPr>
          <w:lang w:eastAsia="ja-JP"/>
        </w:rPr>
        <w:t>5, 10, 15, 20 MHz</w:t>
      </w:r>
      <w:r w:rsidR="000058AD">
        <w:rPr>
          <w:lang w:eastAsia="ja-JP"/>
        </w:rPr>
        <w:t xml:space="preserve"> and additional requests </w:t>
      </w:r>
      <w:r w:rsidR="009E13D0">
        <w:rPr>
          <w:lang w:eastAsia="ja-JP"/>
        </w:rPr>
        <w:t xml:space="preserve">for </w:t>
      </w:r>
      <w:r w:rsidR="000058AD">
        <w:rPr>
          <w:lang w:eastAsia="ja-JP"/>
        </w:rPr>
        <w:t xml:space="preserve">support of </w:t>
      </w:r>
      <w:r w:rsidR="000058AD" w:rsidRPr="00B15A1F">
        <w:rPr>
          <w:lang w:eastAsia="ja-JP"/>
        </w:rPr>
        <w:t>25, 30, 35, and 40 MHz</w:t>
      </w:r>
      <w:r w:rsidR="009E13D0">
        <w:rPr>
          <w:lang w:eastAsia="ja-JP"/>
        </w:rPr>
        <w:t>,</w:t>
      </w:r>
      <w:r w:rsidR="00792639">
        <w:rPr>
          <w:lang w:eastAsia="ja-JP"/>
        </w:rPr>
        <w:t xml:space="preserve"> out of which</w:t>
      </w:r>
      <w:r w:rsidR="009E13D0">
        <w:rPr>
          <w:lang w:eastAsia="ja-JP"/>
        </w:rPr>
        <w:t>,</w:t>
      </w:r>
      <w:r w:rsidR="00792639">
        <w:rPr>
          <w:lang w:eastAsia="ja-JP"/>
        </w:rPr>
        <w:t xml:space="preserve"> the 35</w:t>
      </w:r>
      <w:r w:rsidR="00AB0051">
        <w:rPr>
          <w:lang w:eastAsia="ja-JP"/>
        </w:rPr>
        <w:t xml:space="preserve"> </w:t>
      </w:r>
      <w:r w:rsidR="00792639">
        <w:rPr>
          <w:lang w:eastAsia="ja-JP"/>
        </w:rPr>
        <w:t>MHz case is a new channel bandwidth. This has been discussed in [4, 5]. In [6]</w:t>
      </w:r>
      <w:r w:rsidR="009E13D0">
        <w:rPr>
          <w:lang w:eastAsia="ja-JP"/>
        </w:rPr>
        <w:t>,</w:t>
      </w:r>
      <w:r w:rsidR="00792639">
        <w:rPr>
          <w:lang w:eastAsia="ja-JP"/>
        </w:rPr>
        <w:t xml:space="preserve"> support for 13</w:t>
      </w:r>
      <w:r w:rsidR="00AB0051">
        <w:rPr>
          <w:lang w:eastAsia="ja-JP"/>
        </w:rPr>
        <w:t xml:space="preserve"> </w:t>
      </w:r>
      <w:r w:rsidR="00792639">
        <w:rPr>
          <w:lang w:eastAsia="ja-JP"/>
        </w:rPr>
        <w:t>MHz in n</w:t>
      </w:r>
      <w:r w:rsidR="00EB669D">
        <w:rPr>
          <w:lang w:eastAsia="ja-JP"/>
        </w:rPr>
        <w:t>28</w:t>
      </w:r>
      <w:r w:rsidR="00792639">
        <w:rPr>
          <w:lang w:eastAsia="ja-JP"/>
        </w:rPr>
        <w:t xml:space="preserve"> and 95</w:t>
      </w:r>
      <w:r w:rsidR="00AB0051">
        <w:rPr>
          <w:lang w:eastAsia="ja-JP"/>
        </w:rPr>
        <w:t xml:space="preserve"> </w:t>
      </w:r>
      <w:r w:rsidR="00792639">
        <w:rPr>
          <w:lang w:eastAsia="ja-JP"/>
        </w:rPr>
        <w:t>MHz in n41 are discussed. Furthermore</w:t>
      </w:r>
      <w:r w:rsidR="009E13D0">
        <w:rPr>
          <w:lang w:eastAsia="ja-JP"/>
        </w:rPr>
        <w:t>,</w:t>
      </w:r>
      <w:r w:rsidR="00792639">
        <w:rPr>
          <w:lang w:eastAsia="ja-JP"/>
        </w:rPr>
        <w:t xml:space="preserve"> 7</w:t>
      </w:r>
      <w:r w:rsidR="00AB0051">
        <w:rPr>
          <w:lang w:eastAsia="ja-JP"/>
        </w:rPr>
        <w:t xml:space="preserve"> </w:t>
      </w:r>
      <w:r w:rsidR="00792639">
        <w:rPr>
          <w:lang w:eastAsia="ja-JP"/>
        </w:rPr>
        <w:t xml:space="preserve">MHz in </w:t>
      </w:r>
      <w:r w:rsidR="009E13D0">
        <w:rPr>
          <w:lang w:eastAsia="ja-JP"/>
        </w:rPr>
        <w:t>B</w:t>
      </w:r>
      <w:r w:rsidR="00792639">
        <w:rPr>
          <w:lang w:eastAsia="ja-JP"/>
        </w:rPr>
        <w:t xml:space="preserve">and </w:t>
      </w:r>
      <w:r w:rsidR="00E266E9">
        <w:rPr>
          <w:lang w:eastAsia="ja-JP"/>
        </w:rPr>
        <w:t>n2</w:t>
      </w:r>
      <w:r w:rsidR="00792639">
        <w:rPr>
          <w:lang w:eastAsia="ja-JP"/>
        </w:rPr>
        <w:t>6 has been discussed</w:t>
      </w:r>
      <w:r w:rsidR="00E266E9">
        <w:rPr>
          <w:lang w:eastAsia="ja-JP"/>
        </w:rPr>
        <w:t>. In the following sections</w:t>
      </w:r>
      <w:r w:rsidR="009E13D0">
        <w:rPr>
          <w:lang w:eastAsia="ja-JP"/>
        </w:rPr>
        <w:t>,</w:t>
      </w:r>
      <w:r w:rsidR="00E266E9">
        <w:rPr>
          <w:lang w:eastAsia="ja-JP"/>
        </w:rPr>
        <w:t xml:space="preserve"> we will discuss how some of the technical aspects like SU can be covered and which alternatives may be studied to introduce the new spectrum BW in the specifications.</w:t>
      </w:r>
    </w:p>
    <w:p w14:paraId="69F157AD" w14:textId="034A3B2A" w:rsidR="006202F7" w:rsidRDefault="00006053" w:rsidP="00861AD7">
      <w:pPr>
        <w:pStyle w:val="Heading2"/>
        <w:spacing w:after="240"/>
        <w:rPr>
          <w:sz w:val="36"/>
          <w:lang w:val="en-US"/>
        </w:rPr>
      </w:pPr>
      <w:r>
        <w:rPr>
          <w:sz w:val="36"/>
          <w:lang w:val="en-US"/>
        </w:rPr>
        <w:t xml:space="preserve">Deriving SU for New </w:t>
      </w:r>
      <w:r w:rsidR="0070099E">
        <w:rPr>
          <w:sz w:val="36"/>
          <w:lang w:val="en-US"/>
        </w:rPr>
        <w:t xml:space="preserve">FR1 </w:t>
      </w:r>
      <w:r>
        <w:rPr>
          <w:sz w:val="36"/>
          <w:lang w:val="en-US"/>
        </w:rPr>
        <w:t>Channel Bandwidths</w:t>
      </w:r>
    </w:p>
    <w:p w14:paraId="69599806" w14:textId="5EE7C0A6" w:rsidR="00857AF0" w:rsidRDefault="00E266E9" w:rsidP="00E266E9">
      <w:pPr>
        <w:spacing w:after="0"/>
        <w:jc w:val="both"/>
      </w:pPr>
      <w:r>
        <w:t>One of the key aspect</w:t>
      </w:r>
      <w:r w:rsidR="003D5A21">
        <w:t>s</w:t>
      </w:r>
      <w:r>
        <w:t xml:space="preserve"> to be agreed </w:t>
      </w:r>
      <w:r w:rsidR="009E13D0">
        <w:t xml:space="preserve">upon </w:t>
      </w:r>
      <w:r>
        <w:t xml:space="preserve">for a new channel bandwidth is the spectrum utilization in number of RBs for the different SCS. In </w:t>
      </w:r>
      <w:r w:rsidR="009E13D0">
        <w:t>R</w:t>
      </w:r>
      <w:r>
        <w:t>elease 15</w:t>
      </w:r>
      <w:r w:rsidR="003D5A21">
        <w:t>,</w:t>
      </w:r>
      <w:r>
        <w:t xml:space="preserve"> the SU that has been adopted (reproduced in Table 1 with addition of 70</w:t>
      </w:r>
      <w:r w:rsidR="00AB0051">
        <w:t xml:space="preserve"> </w:t>
      </w:r>
      <w:r>
        <w:t>MHz case from BS side</w:t>
      </w:r>
      <w:r w:rsidR="000613D8">
        <w:t xml:space="preserve"> in grey</w:t>
      </w:r>
      <w:r>
        <w:t>) has been the result of compromises between multiple companies input and thus does not really follow any regular pattern.</w:t>
      </w:r>
    </w:p>
    <w:p w14:paraId="0E93DAEF" w14:textId="60C55E95" w:rsidR="00E266E9" w:rsidRDefault="00E266E9" w:rsidP="00E266E9">
      <w:pPr>
        <w:pStyle w:val="Caption"/>
        <w:keepNext/>
        <w:spacing w:after="0"/>
        <w:jc w:val="center"/>
      </w:pPr>
      <w:r>
        <w:t xml:space="preserve">Table </w:t>
      </w:r>
      <w:r w:rsidR="004863B3">
        <w:fldChar w:fldCharType="begin"/>
      </w:r>
      <w:r w:rsidR="004863B3">
        <w:instrText xml:space="preserve"> SEQ Table \* ARABIC </w:instrText>
      </w:r>
      <w:r w:rsidR="004863B3">
        <w:fldChar w:fldCharType="separate"/>
      </w:r>
      <w:r w:rsidR="00AB5442">
        <w:rPr>
          <w:noProof/>
        </w:rPr>
        <w:t>1</w:t>
      </w:r>
      <w:r w:rsidR="004863B3">
        <w:rPr>
          <w:noProof/>
        </w:rPr>
        <w:fldChar w:fldCharType="end"/>
      </w:r>
      <w:r>
        <w:t>: SU for current Release 16 channel bandwidths</w:t>
      </w:r>
    </w:p>
    <w:tbl>
      <w:tblPr>
        <w:tblW w:w="8056" w:type="dxa"/>
        <w:jc w:val="center"/>
        <w:tblInd w:w="93" w:type="dxa"/>
        <w:tblLook w:val="04A0" w:firstRow="1" w:lastRow="0" w:firstColumn="1" w:lastColumn="0" w:noHBand="0" w:noVBand="1"/>
      </w:tblPr>
      <w:tblGrid>
        <w:gridCol w:w="636"/>
        <w:gridCol w:w="580"/>
        <w:gridCol w:w="580"/>
        <w:gridCol w:w="580"/>
        <w:gridCol w:w="580"/>
        <w:gridCol w:w="580"/>
        <w:gridCol w:w="580"/>
        <w:gridCol w:w="580"/>
        <w:gridCol w:w="580"/>
        <w:gridCol w:w="560"/>
        <w:gridCol w:w="540"/>
        <w:gridCol w:w="560"/>
        <w:gridCol w:w="560"/>
        <w:gridCol w:w="560"/>
      </w:tblGrid>
      <w:tr w:rsidR="00E266E9" w:rsidRPr="00E266E9" w14:paraId="3FA78279" w14:textId="77777777" w:rsidTr="00E266E9">
        <w:trPr>
          <w:trHeight w:val="252"/>
          <w:jc w:val="center"/>
        </w:trPr>
        <w:tc>
          <w:tcPr>
            <w:tcW w:w="636" w:type="dxa"/>
            <w:tcBorders>
              <w:top w:val="nil"/>
              <w:left w:val="nil"/>
              <w:bottom w:val="nil"/>
              <w:right w:val="nil"/>
            </w:tcBorders>
            <w:shd w:val="clear" w:color="auto" w:fill="auto"/>
            <w:noWrap/>
            <w:vAlign w:val="center"/>
            <w:hideMark/>
          </w:tcPr>
          <w:p w14:paraId="21F08784" w14:textId="77777777" w:rsidR="00E266E9" w:rsidRPr="00E266E9" w:rsidRDefault="00E266E9" w:rsidP="00E266E9">
            <w:pPr>
              <w:overflowPunct/>
              <w:autoSpaceDE/>
              <w:autoSpaceDN/>
              <w:adjustRightInd/>
              <w:spacing w:after="0"/>
              <w:jc w:val="center"/>
              <w:textAlignment w:val="auto"/>
              <w:rPr>
                <w:rFonts w:ascii="Calibri" w:hAnsi="Calibri"/>
                <w:color w:val="000000"/>
                <w:sz w:val="18"/>
                <w:szCs w:val="18"/>
              </w:rPr>
            </w:pPr>
          </w:p>
        </w:tc>
        <w:tc>
          <w:tcPr>
            <w:tcW w:w="7420" w:type="dxa"/>
            <w:gridSpan w:val="1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38BA78D" w14:textId="77777777" w:rsidR="00E266E9" w:rsidRPr="00E266E9" w:rsidRDefault="00E266E9" w:rsidP="00E266E9">
            <w:pPr>
              <w:overflowPunct/>
              <w:autoSpaceDE/>
              <w:autoSpaceDN/>
              <w:adjustRightInd/>
              <w:spacing w:after="0"/>
              <w:jc w:val="center"/>
              <w:textAlignment w:val="auto"/>
              <w:rPr>
                <w:rFonts w:ascii="Calibri" w:hAnsi="Calibri"/>
                <w:color w:val="000000"/>
                <w:sz w:val="18"/>
                <w:szCs w:val="18"/>
              </w:rPr>
            </w:pPr>
            <w:r w:rsidRPr="00E266E9">
              <w:rPr>
                <w:rFonts w:ascii="Calibri" w:hAnsi="Calibri"/>
                <w:color w:val="000000"/>
                <w:sz w:val="18"/>
                <w:szCs w:val="18"/>
              </w:rPr>
              <w:t>FR1Channel BW [MHz]</w:t>
            </w:r>
          </w:p>
        </w:tc>
      </w:tr>
      <w:tr w:rsidR="00E266E9" w:rsidRPr="00E266E9" w14:paraId="707611BD" w14:textId="77777777" w:rsidTr="00E266E9">
        <w:trPr>
          <w:trHeight w:val="240"/>
          <w:jc w:val="center"/>
        </w:trPr>
        <w:tc>
          <w:tcPr>
            <w:tcW w:w="6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4522EB" w14:textId="77777777" w:rsidR="00E266E9" w:rsidRPr="00E266E9" w:rsidRDefault="00E266E9" w:rsidP="00E266E9">
            <w:pPr>
              <w:overflowPunct/>
              <w:autoSpaceDE/>
              <w:autoSpaceDN/>
              <w:adjustRightInd/>
              <w:spacing w:after="0"/>
              <w:jc w:val="center"/>
              <w:textAlignment w:val="auto"/>
              <w:rPr>
                <w:color w:val="000000"/>
                <w:sz w:val="18"/>
                <w:szCs w:val="18"/>
              </w:rPr>
            </w:pPr>
            <w:r w:rsidRPr="00E266E9">
              <w:rPr>
                <w:color w:val="000000"/>
                <w:sz w:val="18"/>
                <w:szCs w:val="18"/>
              </w:rPr>
              <w:t>SCS [kHz]</w:t>
            </w:r>
          </w:p>
        </w:tc>
        <w:tc>
          <w:tcPr>
            <w:tcW w:w="580" w:type="dxa"/>
            <w:tcBorders>
              <w:top w:val="nil"/>
              <w:left w:val="nil"/>
              <w:bottom w:val="single" w:sz="4" w:space="0" w:color="auto"/>
              <w:right w:val="single" w:sz="4" w:space="0" w:color="auto"/>
            </w:tcBorders>
            <w:shd w:val="clear" w:color="auto" w:fill="auto"/>
            <w:noWrap/>
            <w:vAlign w:val="center"/>
            <w:hideMark/>
          </w:tcPr>
          <w:p w14:paraId="2F59455F" w14:textId="77777777" w:rsidR="00E266E9" w:rsidRPr="00E266E9" w:rsidRDefault="00E266E9" w:rsidP="00E266E9">
            <w:pPr>
              <w:overflowPunct/>
              <w:autoSpaceDE/>
              <w:autoSpaceDN/>
              <w:adjustRightInd/>
              <w:spacing w:after="0"/>
              <w:jc w:val="center"/>
              <w:textAlignment w:val="auto"/>
              <w:rPr>
                <w:rFonts w:ascii="Calibri" w:hAnsi="Calibri"/>
                <w:color w:val="000000"/>
                <w:sz w:val="18"/>
                <w:szCs w:val="18"/>
              </w:rPr>
            </w:pPr>
            <w:r w:rsidRPr="00E266E9">
              <w:rPr>
                <w:rFonts w:ascii="Calibri" w:hAnsi="Calibri"/>
                <w:color w:val="000000"/>
                <w:sz w:val="18"/>
                <w:szCs w:val="18"/>
              </w:rPr>
              <w:t>5</w:t>
            </w:r>
          </w:p>
        </w:tc>
        <w:tc>
          <w:tcPr>
            <w:tcW w:w="580" w:type="dxa"/>
            <w:tcBorders>
              <w:top w:val="nil"/>
              <w:left w:val="nil"/>
              <w:bottom w:val="single" w:sz="4" w:space="0" w:color="auto"/>
              <w:right w:val="single" w:sz="4" w:space="0" w:color="auto"/>
            </w:tcBorders>
            <w:shd w:val="clear" w:color="auto" w:fill="auto"/>
            <w:noWrap/>
            <w:vAlign w:val="center"/>
            <w:hideMark/>
          </w:tcPr>
          <w:p w14:paraId="0EC7299A" w14:textId="77777777" w:rsidR="00E266E9" w:rsidRPr="00E266E9" w:rsidRDefault="00E266E9" w:rsidP="00E266E9">
            <w:pPr>
              <w:overflowPunct/>
              <w:autoSpaceDE/>
              <w:autoSpaceDN/>
              <w:adjustRightInd/>
              <w:spacing w:after="0"/>
              <w:jc w:val="center"/>
              <w:textAlignment w:val="auto"/>
              <w:rPr>
                <w:rFonts w:ascii="Calibri" w:hAnsi="Calibri"/>
                <w:color w:val="000000"/>
                <w:sz w:val="18"/>
                <w:szCs w:val="18"/>
              </w:rPr>
            </w:pPr>
            <w:r w:rsidRPr="00E266E9">
              <w:rPr>
                <w:rFonts w:ascii="Calibri" w:hAnsi="Calibri"/>
                <w:color w:val="000000"/>
                <w:sz w:val="18"/>
                <w:szCs w:val="18"/>
              </w:rPr>
              <w:t>10</w:t>
            </w:r>
          </w:p>
        </w:tc>
        <w:tc>
          <w:tcPr>
            <w:tcW w:w="580" w:type="dxa"/>
            <w:tcBorders>
              <w:top w:val="nil"/>
              <w:left w:val="nil"/>
              <w:bottom w:val="single" w:sz="4" w:space="0" w:color="auto"/>
              <w:right w:val="single" w:sz="4" w:space="0" w:color="auto"/>
            </w:tcBorders>
            <w:shd w:val="clear" w:color="auto" w:fill="auto"/>
            <w:noWrap/>
            <w:vAlign w:val="center"/>
            <w:hideMark/>
          </w:tcPr>
          <w:p w14:paraId="0993B57E" w14:textId="77777777" w:rsidR="00E266E9" w:rsidRPr="00E266E9" w:rsidRDefault="00E266E9" w:rsidP="00E266E9">
            <w:pPr>
              <w:overflowPunct/>
              <w:autoSpaceDE/>
              <w:autoSpaceDN/>
              <w:adjustRightInd/>
              <w:spacing w:after="0"/>
              <w:jc w:val="center"/>
              <w:textAlignment w:val="auto"/>
              <w:rPr>
                <w:rFonts w:ascii="Calibri" w:hAnsi="Calibri"/>
                <w:color w:val="000000"/>
                <w:sz w:val="18"/>
                <w:szCs w:val="18"/>
              </w:rPr>
            </w:pPr>
            <w:r w:rsidRPr="00E266E9">
              <w:rPr>
                <w:rFonts w:ascii="Calibri" w:hAnsi="Calibri"/>
                <w:color w:val="000000"/>
                <w:sz w:val="18"/>
                <w:szCs w:val="18"/>
              </w:rPr>
              <w:t>15</w:t>
            </w:r>
          </w:p>
        </w:tc>
        <w:tc>
          <w:tcPr>
            <w:tcW w:w="580" w:type="dxa"/>
            <w:tcBorders>
              <w:top w:val="nil"/>
              <w:left w:val="nil"/>
              <w:bottom w:val="single" w:sz="4" w:space="0" w:color="auto"/>
              <w:right w:val="single" w:sz="4" w:space="0" w:color="auto"/>
            </w:tcBorders>
            <w:shd w:val="clear" w:color="auto" w:fill="auto"/>
            <w:noWrap/>
            <w:vAlign w:val="center"/>
            <w:hideMark/>
          </w:tcPr>
          <w:p w14:paraId="02A64D43" w14:textId="77777777" w:rsidR="00E266E9" w:rsidRPr="00E266E9" w:rsidRDefault="00E266E9" w:rsidP="00E266E9">
            <w:pPr>
              <w:overflowPunct/>
              <w:autoSpaceDE/>
              <w:autoSpaceDN/>
              <w:adjustRightInd/>
              <w:spacing w:after="0"/>
              <w:jc w:val="center"/>
              <w:textAlignment w:val="auto"/>
              <w:rPr>
                <w:rFonts w:ascii="Calibri" w:hAnsi="Calibri"/>
                <w:color w:val="000000"/>
                <w:sz w:val="18"/>
                <w:szCs w:val="18"/>
              </w:rPr>
            </w:pPr>
            <w:r w:rsidRPr="00E266E9">
              <w:rPr>
                <w:rFonts w:ascii="Calibri" w:hAnsi="Calibri"/>
                <w:color w:val="000000"/>
                <w:sz w:val="18"/>
                <w:szCs w:val="18"/>
              </w:rPr>
              <w:t>20</w:t>
            </w:r>
          </w:p>
        </w:tc>
        <w:tc>
          <w:tcPr>
            <w:tcW w:w="580" w:type="dxa"/>
            <w:tcBorders>
              <w:top w:val="nil"/>
              <w:left w:val="nil"/>
              <w:bottom w:val="single" w:sz="4" w:space="0" w:color="auto"/>
              <w:right w:val="single" w:sz="4" w:space="0" w:color="auto"/>
            </w:tcBorders>
            <w:shd w:val="clear" w:color="auto" w:fill="auto"/>
            <w:noWrap/>
            <w:vAlign w:val="center"/>
            <w:hideMark/>
          </w:tcPr>
          <w:p w14:paraId="40EEB671" w14:textId="77777777" w:rsidR="00E266E9" w:rsidRPr="00E266E9" w:rsidRDefault="00E266E9" w:rsidP="00E266E9">
            <w:pPr>
              <w:overflowPunct/>
              <w:autoSpaceDE/>
              <w:autoSpaceDN/>
              <w:adjustRightInd/>
              <w:spacing w:after="0"/>
              <w:jc w:val="center"/>
              <w:textAlignment w:val="auto"/>
              <w:rPr>
                <w:rFonts w:ascii="Calibri" w:hAnsi="Calibri"/>
                <w:color w:val="000000"/>
                <w:sz w:val="18"/>
                <w:szCs w:val="18"/>
              </w:rPr>
            </w:pPr>
            <w:r w:rsidRPr="00E266E9">
              <w:rPr>
                <w:rFonts w:ascii="Calibri" w:hAnsi="Calibri"/>
                <w:color w:val="000000"/>
                <w:sz w:val="18"/>
                <w:szCs w:val="18"/>
              </w:rPr>
              <w:t>25</w:t>
            </w:r>
          </w:p>
        </w:tc>
        <w:tc>
          <w:tcPr>
            <w:tcW w:w="580" w:type="dxa"/>
            <w:tcBorders>
              <w:top w:val="nil"/>
              <w:left w:val="nil"/>
              <w:bottom w:val="single" w:sz="4" w:space="0" w:color="auto"/>
              <w:right w:val="single" w:sz="4" w:space="0" w:color="auto"/>
            </w:tcBorders>
            <w:shd w:val="clear" w:color="auto" w:fill="auto"/>
            <w:noWrap/>
            <w:vAlign w:val="center"/>
            <w:hideMark/>
          </w:tcPr>
          <w:p w14:paraId="20D9E240" w14:textId="77777777" w:rsidR="00E266E9" w:rsidRPr="00E266E9" w:rsidRDefault="00E266E9" w:rsidP="00E266E9">
            <w:pPr>
              <w:overflowPunct/>
              <w:autoSpaceDE/>
              <w:autoSpaceDN/>
              <w:adjustRightInd/>
              <w:spacing w:after="0"/>
              <w:jc w:val="center"/>
              <w:textAlignment w:val="auto"/>
              <w:rPr>
                <w:rFonts w:ascii="Calibri" w:hAnsi="Calibri"/>
                <w:color w:val="000000"/>
                <w:sz w:val="18"/>
                <w:szCs w:val="18"/>
              </w:rPr>
            </w:pPr>
            <w:r w:rsidRPr="00E266E9">
              <w:rPr>
                <w:rFonts w:ascii="Calibri" w:hAnsi="Calibri"/>
                <w:color w:val="000000"/>
                <w:sz w:val="18"/>
                <w:szCs w:val="18"/>
              </w:rPr>
              <w:t>30</w:t>
            </w:r>
          </w:p>
        </w:tc>
        <w:tc>
          <w:tcPr>
            <w:tcW w:w="580" w:type="dxa"/>
            <w:tcBorders>
              <w:top w:val="nil"/>
              <w:left w:val="nil"/>
              <w:bottom w:val="single" w:sz="4" w:space="0" w:color="auto"/>
              <w:right w:val="single" w:sz="4" w:space="0" w:color="auto"/>
            </w:tcBorders>
            <w:shd w:val="clear" w:color="auto" w:fill="auto"/>
            <w:noWrap/>
            <w:vAlign w:val="center"/>
            <w:hideMark/>
          </w:tcPr>
          <w:p w14:paraId="61C96985" w14:textId="77777777" w:rsidR="00E266E9" w:rsidRPr="00E266E9" w:rsidRDefault="00E266E9" w:rsidP="00E266E9">
            <w:pPr>
              <w:overflowPunct/>
              <w:autoSpaceDE/>
              <w:autoSpaceDN/>
              <w:adjustRightInd/>
              <w:spacing w:after="0"/>
              <w:jc w:val="center"/>
              <w:textAlignment w:val="auto"/>
              <w:rPr>
                <w:rFonts w:ascii="Calibri" w:hAnsi="Calibri"/>
                <w:color w:val="000000"/>
                <w:sz w:val="18"/>
                <w:szCs w:val="18"/>
              </w:rPr>
            </w:pPr>
            <w:r w:rsidRPr="00E266E9">
              <w:rPr>
                <w:rFonts w:ascii="Calibri" w:hAnsi="Calibri"/>
                <w:color w:val="000000"/>
                <w:sz w:val="18"/>
                <w:szCs w:val="18"/>
              </w:rPr>
              <w:t>40</w:t>
            </w:r>
          </w:p>
        </w:tc>
        <w:tc>
          <w:tcPr>
            <w:tcW w:w="580" w:type="dxa"/>
            <w:tcBorders>
              <w:top w:val="nil"/>
              <w:left w:val="nil"/>
              <w:bottom w:val="single" w:sz="4" w:space="0" w:color="auto"/>
              <w:right w:val="single" w:sz="4" w:space="0" w:color="auto"/>
            </w:tcBorders>
            <w:shd w:val="clear" w:color="auto" w:fill="auto"/>
            <w:noWrap/>
            <w:vAlign w:val="center"/>
            <w:hideMark/>
          </w:tcPr>
          <w:p w14:paraId="06E1FCF8" w14:textId="77777777" w:rsidR="00E266E9" w:rsidRPr="00E266E9" w:rsidRDefault="00E266E9" w:rsidP="00E266E9">
            <w:pPr>
              <w:overflowPunct/>
              <w:autoSpaceDE/>
              <w:autoSpaceDN/>
              <w:adjustRightInd/>
              <w:spacing w:after="0"/>
              <w:jc w:val="center"/>
              <w:textAlignment w:val="auto"/>
              <w:rPr>
                <w:rFonts w:ascii="Calibri" w:hAnsi="Calibri"/>
                <w:color w:val="000000"/>
                <w:sz w:val="18"/>
                <w:szCs w:val="18"/>
              </w:rPr>
            </w:pPr>
            <w:r w:rsidRPr="00E266E9">
              <w:rPr>
                <w:rFonts w:ascii="Calibri" w:hAnsi="Calibri"/>
                <w:color w:val="000000"/>
                <w:sz w:val="18"/>
                <w:szCs w:val="18"/>
              </w:rPr>
              <w:t>50</w:t>
            </w:r>
          </w:p>
        </w:tc>
        <w:tc>
          <w:tcPr>
            <w:tcW w:w="560" w:type="dxa"/>
            <w:tcBorders>
              <w:top w:val="nil"/>
              <w:left w:val="nil"/>
              <w:bottom w:val="single" w:sz="4" w:space="0" w:color="auto"/>
              <w:right w:val="single" w:sz="4" w:space="0" w:color="auto"/>
            </w:tcBorders>
            <w:shd w:val="clear" w:color="auto" w:fill="auto"/>
            <w:noWrap/>
            <w:vAlign w:val="center"/>
            <w:hideMark/>
          </w:tcPr>
          <w:p w14:paraId="26B26DEB" w14:textId="77777777" w:rsidR="00E266E9" w:rsidRPr="00E266E9" w:rsidRDefault="00E266E9" w:rsidP="00E266E9">
            <w:pPr>
              <w:overflowPunct/>
              <w:autoSpaceDE/>
              <w:autoSpaceDN/>
              <w:adjustRightInd/>
              <w:spacing w:after="0"/>
              <w:jc w:val="center"/>
              <w:textAlignment w:val="auto"/>
              <w:rPr>
                <w:rFonts w:ascii="Calibri" w:hAnsi="Calibri"/>
                <w:color w:val="000000"/>
                <w:sz w:val="18"/>
                <w:szCs w:val="18"/>
              </w:rPr>
            </w:pPr>
            <w:r w:rsidRPr="00E266E9">
              <w:rPr>
                <w:rFonts w:ascii="Calibri" w:hAnsi="Calibri"/>
                <w:color w:val="000000"/>
                <w:sz w:val="18"/>
                <w:szCs w:val="18"/>
              </w:rPr>
              <w:t>60</w:t>
            </w:r>
          </w:p>
        </w:tc>
        <w:tc>
          <w:tcPr>
            <w:tcW w:w="540" w:type="dxa"/>
            <w:tcBorders>
              <w:top w:val="nil"/>
              <w:left w:val="nil"/>
              <w:bottom w:val="single" w:sz="4" w:space="0" w:color="auto"/>
              <w:right w:val="single" w:sz="4" w:space="0" w:color="auto"/>
            </w:tcBorders>
            <w:shd w:val="clear" w:color="auto" w:fill="auto"/>
            <w:noWrap/>
            <w:vAlign w:val="center"/>
            <w:hideMark/>
          </w:tcPr>
          <w:p w14:paraId="262F9036" w14:textId="77777777" w:rsidR="00E266E9" w:rsidRPr="00E266E9" w:rsidRDefault="00E266E9" w:rsidP="00E266E9">
            <w:pPr>
              <w:overflowPunct/>
              <w:autoSpaceDE/>
              <w:autoSpaceDN/>
              <w:adjustRightInd/>
              <w:spacing w:after="0"/>
              <w:jc w:val="center"/>
              <w:textAlignment w:val="auto"/>
              <w:rPr>
                <w:rFonts w:ascii="Calibri" w:hAnsi="Calibri"/>
                <w:color w:val="000000"/>
                <w:sz w:val="18"/>
                <w:szCs w:val="18"/>
              </w:rPr>
            </w:pPr>
            <w:r w:rsidRPr="00E266E9">
              <w:rPr>
                <w:rFonts w:ascii="Calibri" w:hAnsi="Calibri"/>
                <w:color w:val="000000"/>
                <w:sz w:val="18"/>
                <w:szCs w:val="18"/>
              </w:rPr>
              <w:t>70</w:t>
            </w:r>
          </w:p>
        </w:tc>
        <w:tc>
          <w:tcPr>
            <w:tcW w:w="560" w:type="dxa"/>
            <w:tcBorders>
              <w:top w:val="nil"/>
              <w:left w:val="nil"/>
              <w:bottom w:val="single" w:sz="4" w:space="0" w:color="auto"/>
              <w:right w:val="single" w:sz="4" w:space="0" w:color="auto"/>
            </w:tcBorders>
            <w:shd w:val="clear" w:color="auto" w:fill="auto"/>
            <w:noWrap/>
            <w:vAlign w:val="center"/>
            <w:hideMark/>
          </w:tcPr>
          <w:p w14:paraId="09BC382B" w14:textId="77777777" w:rsidR="00E266E9" w:rsidRPr="00E266E9" w:rsidRDefault="00E266E9" w:rsidP="00E266E9">
            <w:pPr>
              <w:overflowPunct/>
              <w:autoSpaceDE/>
              <w:autoSpaceDN/>
              <w:adjustRightInd/>
              <w:spacing w:after="0"/>
              <w:jc w:val="center"/>
              <w:textAlignment w:val="auto"/>
              <w:rPr>
                <w:rFonts w:ascii="Calibri" w:hAnsi="Calibri"/>
                <w:color w:val="000000"/>
                <w:sz w:val="18"/>
                <w:szCs w:val="18"/>
              </w:rPr>
            </w:pPr>
            <w:r w:rsidRPr="00E266E9">
              <w:rPr>
                <w:rFonts w:ascii="Calibri" w:hAnsi="Calibri"/>
                <w:color w:val="000000"/>
                <w:sz w:val="18"/>
                <w:szCs w:val="18"/>
              </w:rPr>
              <w:t>80</w:t>
            </w:r>
          </w:p>
        </w:tc>
        <w:tc>
          <w:tcPr>
            <w:tcW w:w="560" w:type="dxa"/>
            <w:tcBorders>
              <w:top w:val="nil"/>
              <w:left w:val="nil"/>
              <w:bottom w:val="single" w:sz="4" w:space="0" w:color="auto"/>
              <w:right w:val="single" w:sz="4" w:space="0" w:color="auto"/>
            </w:tcBorders>
            <w:shd w:val="clear" w:color="auto" w:fill="auto"/>
            <w:noWrap/>
            <w:vAlign w:val="center"/>
            <w:hideMark/>
          </w:tcPr>
          <w:p w14:paraId="14C38737" w14:textId="77777777" w:rsidR="00E266E9" w:rsidRPr="00E266E9" w:rsidRDefault="00E266E9" w:rsidP="00E266E9">
            <w:pPr>
              <w:overflowPunct/>
              <w:autoSpaceDE/>
              <w:autoSpaceDN/>
              <w:adjustRightInd/>
              <w:spacing w:after="0"/>
              <w:jc w:val="center"/>
              <w:textAlignment w:val="auto"/>
              <w:rPr>
                <w:rFonts w:ascii="Calibri" w:hAnsi="Calibri"/>
                <w:color w:val="000000"/>
                <w:sz w:val="18"/>
                <w:szCs w:val="18"/>
              </w:rPr>
            </w:pPr>
            <w:r w:rsidRPr="00E266E9">
              <w:rPr>
                <w:rFonts w:ascii="Calibri" w:hAnsi="Calibri"/>
                <w:color w:val="000000"/>
                <w:sz w:val="18"/>
                <w:szCs w:val="18"/>
              </w:rPr>
              <w:t>90</w:t>
            </w:r>
          </w:p>
        </w:tc>
        <w:tc>
          <w:tcPr>
            <w:tcW w:w="560" w:type="dxa"/>
            <w:tcBorders>
              <w:top w:val="nil"/>
              <w:left w:val="nil"/>
              <w:bottom w:val="single" w:sz="4" w:space="0" w:color="auto"/>
              <w:right w:val="single" w:sz="4" w:space="0" w:color="auto"/>
            </w:tcBorders>
            <w:shd w:val="clear" w:color="auto" w:fill="auto"/>
            <w:noWrap/>
            <w:vAlign w:val="center"/>
            <w:hideMark/>
          </w:tcPr>
          <w:p w14:paraId="2C27084C" w14:textId="77777777" w:rsidR="00E266E9" w:rsidRPr="00E266E9" w:rsidRDefault="00E266E9" w:rsidP="00E266E9">
            <w:pPr>
              <w:overflowPunct/>
              <w:autoSpaceDE/>
              <w:autoSpaceDN/>
              <w:adjustRightInd/>
              <w:spacing w:after="0"/>
              <w:jc w:val="center"/>
              <w:textAlignment w:val="auto"/>
              <w:rPr>
                <w:rFonts w:ascii="Calibri" w:hAnsi="Calibri"/>
                <w:color w:val="000000"/>
                <w:sz w:val="18"/>
                <w:szCs w:val="18"/>
              </w:rPr>
            </w:pPr>
            <w:r w:rsidRPr="00E266E9">
              <w:rPr>
                <w:rFonts w:ascii="Calibri" w:hAnsi="Calibri"/>
                <w:color w:val="000000"/>
                <w:sz w:val="18"/>
                <w:szCs w:val="18"/>
              </w:rPr>
              <w:t>100</w:t>
            </w:r>
          </w:p>
        </w:tc>
      </w:tr>
      <w:tr w:rsidR="00E266E9" w:rsidRPr="00E266E9" w14:paraId="489BDA86" w14:textId="77777777" w:rsidTr="00E266E9">
        <w:trPr>
          <w:trHeight w:val="264"/>
          <w:jc w:val="center"/>
        </w:trPr>
        <w:tc>
          <w:tcPr>
            <w:tcW w:w="636" w:type="dxa"/>
            <w:vMerge/>
            <w:tcBorders>
              <w:top w:val="single" w:sz="4" w:space="0" w:color="auto"/>
              <w:left w:val="single" w:sz="4" w:space="0" w:color="auto"/>
              <w:bottom w:val="single" w:sz="4" w:space="0" w:color="000000"/>
              <w:right w:val="single" w:sz="4" w:space="0" w:color="auto"/>
            </w:tcBorders>
            <w:vAlign w:val="center"/>
            <w:hideMark/>
          </w:tcPr>
          <w:p w14:paraId="7C938075" w14:textId="77777777" w:rsidR="00E266E9" w:rsidRPr="00E266E9" w:rsidRDefault="00E266E9" w:rsidP="00E266E9">
            <w:pPr>
              <w:overflowPunct/>
              <w:autoSpaceDE/>
              <w:autoSpaceDN/>
              <w:adjustRightInd/>
              <w:spacing w:after="0"/>
              <w:textAlignment w:val="auto"/>
              <w:rPr>
                <w:color w:val="000000"/>
                <w:sz w:val="18"/>
                <w:szCs w:val="18"/>
              </w:rPr>
            </w:pPr>
          </w:p>
        </w:tc>
        <w:tc>
          <w:tcPr>
            <w:tcW w:w="580" w:type="dxa"/>
            <w:tcBorders>
              <w:top w:val="nil"/>
              <w:left w:val="nil"/>
              <w:bottom w:val="single" w:sz="4" w:space="0" w:color="auto"/>
              <w:right w:val="single" w:sz="4" w:space="0" w:color="auto"/>
            </w:tcBorders>
            <w:shd w:val="clear" w:color="auto" w:fill="auto"/>
            <w:vAlign w:val="center"/>
            <w:hideMark/>
          </w:tcPr>
          <w:p w14:paraId="41B411FF" w14:textId="77777777" w:rsidR="00E266E9" w:rsidRPr="00E266E9" w:rsidRDefault="00E266E9" w:rsidP="00E266E9">
            <w:pPr>
              <w:overflowPunct/>
              <w:autoSpaceDE/>
              <w:autoSpaceDN/>
              <w:adjustRightInd/>
              <w:spacing w:after="0"/>
              <w:jc w:val="center"/>
              <w:textAlignment w:val="auto"/>
              <w:rPr>
                <w:color w:val="000000"/>
                <w:sz w:val="18"/>
                <w:szCs w:val="18"/>
              </w:rPr>
            </w:pPr>
            <w:r w:rsidRPr="00E266E9">
              <w:rPr>
                <w:color w:val="000000"/>
                <w:sz w:val="18"/>
                <w:szCs w:val="18"/>
              </w:rPr>
              <w:t>N</w:t>
            </w:r>
            <w:r w:rsidRPr="00E266E9">
              <w:rPr>
                <w:color w:val="000000"/>
                <w:sz w:val="18"/>
                <w:szCs w:val="18"/>
                <w:vertAlign w:val="subscript"/>
              </w:rPr>
              <w:t>RB</w:t>
            </w:r>
          </w:p>
        </w:tc>
        <w:tc>
          <w:tcPr>
            <w:tcW w:w="580" w:type="dxa"/>
            <w:tcBorders>
              <w:top w:val="nil"/>
              <w:left w:val="nil"/>
              <w:bottom w:val="single" w:sz="4" w:space="0" w:color="auto"/>
              <w:right w:val="single" w:sz="4" w:space="0" w:color="auto"/>
            </w:tcBorders>
            <w:shd w:val="clear" w:color="auto" w:fill="auto"/>
            <w:vAlign w:val="center"/>
            <w:hideMark/>
          </w:tcPr>
          <w:p w14:paraId="34234977" w14:textId="77777777" w:rsidR="00E266E9" w:rsidRPr="00E266E9" w:rsidRDefault="00E266E9" w:rsidP="00E266E9">
            <w:pPr>
              <w:overflowPunct/>
              <w:autoSpaceDE/>
              <w:autoSpaceDN/>
              <w:adjustRightInd/>
              <w:spacing w:after="0"/>
              <w:jc w:val="center"/>
              <w:textAlignment w:val="auto"/>
              <w:rPr>
                <w:color w:val="000000"/>
                <w:sz w:val="18"/>
                <w:szCs w:val="18"/>
              </w:rPr>
            </w:pPr>
            <w:r w:rsidRPr="00E266E9">
              <w:rPr>
                <w:color w:val="000000"/>
                <w:sz w:val="18"/>
                <w:szCs w:val="18"/>
              </w:rPr>
              <w:t>N</w:t>
            </w:r>
            <w:r w:rsidRPr="00E266E9">
              <w:rPr>
                <w:color w:val="000000"/>
                <w:sz w:val="18"/>
                <w:szCs w:val="18"/>
                <w:vertAlign w:val="subscript"/>
              </w:rPr>
              <w:t>RB</w:t>
            </w:r>
          </w:p>
        </w:tc>
        <w:tc>
          <w:tcPr>
            <w:tcW w:w="580" w:type="dxa"/>
            <w:tcBorders>
              <w:top w:val="nil"/>
              <w:left w:val="nil"/>
              <w:bottom w:val="single" w:sz="4" w:space="0" w:color="auto"/>
              <w:right w:val="single" w:sz="4" w:space="0" w:color="auto"/>
            </w:tcBorders>
            <w:shd w:val="clear" w:color="auto" w:fill="auto"/>
            <w:vAlign w:val="center"/>
            <w:hideMark/>
          </w:tcPr>
          <w:p w14:paraId="48C62E4D" w14:textId="77777777" w:rsidR="00E266E9" w:rsidRPr="00E266E9" w:rsidRDefault="00E266E9" w:rsidP="00E266E9">
            <w:pPr>
              <w:overflowPunct/>
              <w:autoSpaceDE/>
              <w:autoSpaceDN/>
              <w:adjustRightInd/>
              <w:spacing w:after="0"/>
              <w:jc w:val="center"/>
              <w:textAlignment w:val="auto"/>
              <w:rPr>
                <w:color w:val="000000"/>
                <w:sz w:val="18"/>
                <w:szCs w:val="18"/>
              </w:rPr>
            </w:pPr>
            <w:r w:rsidRPr="00E266E9">
              <w:rPr>
                <w:color w:val="000000"/>
                <w:sz w:val="18"/>
                <w:szCs w:val="18"/>
              </w:rPr>
              <w:t>N</w:t>
            </w:r>
            <w:r w:rsidRPr="00E266E9">
              <w:rPr>
                <w:color w:val="000000"/>
                <w:sz w:val="18"/>
                <w:szCs w:val="18"/>
                <w:vertAlign w:val="subscript"/>
              </w:rPr>
              <w:t>RB</w:t>
            </w:r>
          </w:p>
        </w:tc>
        <w:tc>
          <w:tcPr>
            <w:tcW w:w="580" w:type="dxa"/>
            <w:tcBorders>
              <w:top w:val="nil"/>
              <w:left w:val="nil"/>
              <w:bottom w:val="single" w:sz="4" w:space="0" w:color="auto"/>
              <w:right w:val="single" w:sz="4" w:space="0" w:color="auto"/>
            </w:tcBorders>
            <w:shd w:val="clear" w:color="auto" w:fill="auto"/>
            <w:vAlign w:val="center"/>
            <w:hideMark/>
          </w:tcPr>
          <w:p w14:paraId="75EB122B" w14:textId="77777777" w:rsidR="00E266E9" w:rsidRPr="00E266E9" w:rsidRDefault="00E266E9" w:rsidP="00E266E9">
            <w:pPr>
              <w:overflowPunct/>
              <w:autoSpaceDE/>
              <w:autoSpaceDN/>
              <w:adjustRightInd/>
              <w:spacing w:after="0"/>
              <w:jc w:val="center"/>
              <w:textAlignment w:val="auto"/>
              <w:rPr>
                <w:color w:val="000000"/>
                <w:sz w:val="18"/>
                <w:szCs w:val="18"/>
              </w:rPr>
            </w:pPr>
            <w:r w:rsidRPr="00E266E9">
              <w:rPr>
                <w:color w:val="000000"/>
                <w:sz w:val="18"/>
                <w:szCs w:val="18"/>
              </w:rPr>
              <w:t>N</w:t>
            </w:r>
            <w:r w:rsidRPr="00E266E9">
              <w:rPr>
                <w:color w:val="000000"/>
                <w:sz w:val="18"/>
                <w:szCs w:val="18"/>
                <w:vertAlign w:val="subscript"/>
              </w:rPr>
              <w:t>RB</w:t>
            </w:r>
          </w:p>
        </w:tc>
        <w:tc>
          <w:tcPr>
            <w:tcW w:w="580" w:type="dxa"/>
            <w:tcBorders>
              <w:top w:val="nil"/>
              <w:left w:val="nil"/>
              <w:bottom w:val="single" w:sz="4" w:space="0" w:color="auto"/>
              <w:right w:val="single" w:sz="4" w:space="0" w:color="auto"/>
            </w:tcBorders>
            <w:shd w:val="clear" w:color="auto" w:fill="auto"/>
            <w:vAlign w:val="center"/>
            <w:hideMark/>
          </w:tcPr>
          <w:p w14:paraId="5624DF6D" w14:textId="77777777" w:rsidR="00E266E9" w:rsidRPr="00E266E9" w:rsidRDefault="00E266E9" w:rsidP="00E266E9">
            <w:pPr>
              <w:overflowPunct/>
              <w:autoSpaceDE/>
              <w:autoSpaceDN/>
              <w:adjustRightInd/>
              <w:spacing w:after="0"/>
              <w:jc w:val="center"/>
              <w:textAlignment w:val="auto"/>
              <w:rPr>
                <w:color w:val="000000"/>
                <w:sz w:val="18"/>
                <w:szCs w:val="18"/>
              </w:rPr>
            </w:pPr>
            <w:r w:rsidRPr="00E266E9">
              <w:rPr>
                <w:color w:val="000000"/>
                <w:sz w:val="18"/>
                <w:szCs w:val="18"/>
              </w:rPr>
              <w:t>N</w:t>
            </w:r>
            <w:r w:rsidRPr="00E266E9">
              <w:rPr>
                <w:color w:val="000000"/>
                <w:sz w:val="18"/>
                <w:szCs w:val="18"/>
                <w:vertAlign w:val="subscript"/>
              </w:rPr>
              <w:t>RB</w:t>
            </w:r>
          </w:p>
        </w:tc>
        <w:tc>
          <w:tcPr>
            <w:tcW w:w="580" w:type="dxa"/>
            <w:tcBorders>
              <w:top w:val="nil"/>
              <w:left w:val="nil"/>
              <w:bottom w:val="single" w:sz="4" w:space="0" w:color="auto"/>
              <w:right w:val="single" w:sz="4" w:space="0" w:color="auto"/>
            </w:tcBorders>
            <w:shd w:val="clear" w:color="auto" w:fill="auto"/>
            <w:vAlign w:val="center"/>
            <w:hideMark/>
          </w:tcPr>
          <w:p w14:paraId="5F9C3056" w14:textId="77777777" w:rsidR="00E266E9" w:rsidRPr="00E266E9" w:rsidRDefault="00E266E9" w:rsidP="00E266E9">
            <w:pPr>
              <w:overflowPunct/>
              <w:autoSpaceDE/>
              <w:autoSpaceDN/>
              <w:adjustRightInd/>
              <w:spacing w:after="0"/>
              <w:jc w:val="center"/>
              <w:textAlignment w:val="auto"/>
              <w:rPr>
                <w:color w:val="000000"/>
                <w:sz w:val="18"/>
                <w:szCs w:val="18"/>
              </w:rPr>
            </w:pPr>
            <w:r w:rsidRPr="00E266E9">
              <w:rPr>
                <w:color w:val="000000"/>
                <w:sz w:val="18"/>
                <w:szCs w:val="18"/>
              </w:rPr>
              <w:t>N</w:t>
            </w:r>
            <w:r w:rsidRPr="00E266E9">
              <w:rPr>
                <w:color w:val="000000"/>
                <w:sz w:val="18"/>
                <w:szCs w:val="18"/>
                <w:vertAlign w:val="subscript"/>
              </w:rPr>
              <w:t>RB</w:t>
            </w:r>
          </w:p>
        </w:tc>
        <w:tc>
          <w:tcPr>
            <w:tcW w:w="580" w:type="dxa"/>
            <w:tcBorders>
              <w:top w:val="nil"/>
              <w:left w:val="nil"/>
              <w:bottom w:val="single" w:sz="4" w:space="0" w:color="auto"/>
              <w:right w:val="single" w:sz="4" w:space="0" w:color="auto"/>
            </w:tcBorders>
            <w:shd w:val="clear" w:color="auto" w:fill="auto"/>
            <w:vAlign w:val="center"/>
            <w:hideMark/>
          </w:tcPr>
          <w:p w14:paraId="05F747FC" w14:textId="77777777" w:rsidR="00E266E9" w:rsidRPr="00E266E9" w:rsidRDefault="00E266E9" w:rsidP="00E266E9">
            <w:pPr>
              <w:overflowPunct/>
              <w:autoSpaceDE/>
              <w:autoSpaceDN/>
              <w:adjustRightInd/>
              <w:spacing w:after="0"/>
              <w:jc w:val="center"/>
              <w:textAlignment w:val="auto"/>
              <w:rPr>
                <w:color w:val="000000"/>
                <w:sz w:val="18"/>
                <w:szCs w:val="18"/>
              </w:rPr>
            </w:pPr>
            <w:r w:rsidRPr="00E266E9">
              <w:rPr>
                <w:color w:val="000000"/>
                <w:sz w:val="18"/>
                <w:szCs w:val="18"/>
              </w:rPr>
              <w:t>N</w:t>
            </w:r>
            <w:r w:rsidRPr="00E266E9">
              <w:rPr>
                <w:color w:val="000000"/>
                <w:sz w:val="18"/>
                <w:szCs w:val="18"/>
                <w:vertAlign w:val="subscript"/>
              </w:rPr>
              <w:t>RB</w:t>
            </w:r>
          </w:p>
        </w:tc>
        <w:tc>
          <w:tcPr>
            <w:tcW w:w="580" w:type="dxa"/>
            <w:tcBorders>
              <w:top w:val="nil"/>
              <w:left w:val="nil"/>
              <w:bottom w:val="single" w:sz="4" w:space="0" w:color="auto"/>
              <w:right w:val="single" w:sz="4" w:space="0" w:color="auto"/>
            </w:tcBorders>
            <w:shd w:val="clear" w:color="auto" w:fill="auto"/>
            <w:vAlign w:val="center"/>
            <w:hideMark/>
          </w:tcPr>
          <w:p w14:paraId="7A9141DF" w14:textId="77777777" w:rsidR="00E266E9" w:rsidRPr="00E266E9" w:rsidRDefault="00E266E9" w:rsidP="00E266E9">
            <w:pPr>
              <w:overflowPunct/>
              <w:autoSpaceDE/>
              <w:autoSpaceDN/>
              <w:adjustRightInd/>
              <w:spacing w:after="0"/>
              <w:jc w:val="center"/>
              <w:textAlignment w:val="auto"/>
              <w:rPr>
                <w:color w:val="000000"/>
                <w:sz w:val="18"/>
                <w:szCs w:val="18"/>
              </w:rPr>
            </w:pPr>
            <w:r w:rsidRPr="00E266E9">
              <w:rPr>
                <w:color w:val="000000"/>
                <w:sz w:val="18"/>
                <w:szCs w:val="18"/>
              </w:rPr>
              <w:t>N</w:t>
            </w:r>
            <w:r w:rsidRPr="00E266E9">
              <w:rPr>
                <w:color w:val="000000"/>
                <w:sz w:val="18"/>
                <w:szCs w:val="18"/>
                <w:vertAlign w:val="subscript"/>
              </w:rPr>
              <w:t>RB</w:t>
            </w:r>
          </w:p>
        </w:tc>
        <w:tc>
          <w:tcPr>
            <w:tcW w:w="560" w:type="dxa"/>
            <w:tcBorders>
              <w:top w:val="nil"/>
              <w:left w:val="nil"/>
              <w:bottom w:val="single" w:sz="4" w:space="0" w:color="auto"/>
              <w:right w:val="single" w:sz="4" w:space="0" w:color="auto"/>
            </w:tcBorders>
            <w:shd w:val="clear" w:color="auto" w:fill="auto"/>
            <w:vAlign w:val="center"/>
            <w:hideMark/>
          </w:tcPr>
          <w:p w14:paraId="3198F21D" w14:textId="77777777" w:rsidR="00E266E9" w:rsidRPr="00E266E9" w:rsidRDefault="00E266E9" w:rsidP="00E266E9">
            <w:pPr>
              <w:overflowPunct/>
              <w:autoSpaceDE/>
              <w:autoSpaceDN/>
              <w:adjustRightInd/>
              <w:spacing w:after="0"/>
              <w:jc w:val="center"/>
              <w:textAlignment w:val="auto"/>
              <w:rPr>
                <w:color w:val="000000"/>
                <w:sz w:val="18"/>
                <w:szCs w:val="18"/>
              </w:rPr>
            </w:pPr>
            <w:r w:rsidRPr="00E266E9">
              <w:rPr>
                <w:color w:val="000000"/>
                <w:sz w:val="18"/>
                <w:szCs w:val="18"/>
              </w:rPr>
              <w:t>N</w:t>
            </w:r>
            <w:r w:rsidRPr="00E266E9">
              <w:rPr>
                <w:color w:val="000000"/>
                <w:sz w:val="18"/>
                <w:szCs w:val="18"/>
                <w:vertAlign w:val="subscript"/>
              </w:rPr>
              <w:t>RB</w:t>
            </w:r>
          </w:p>
        </w:tc>
        <w:tc>
          <w:tcPr>
            <w:tcW w:w="540" w:type="dxa"/>
            <w:tcBorders>
              <w:top w:val="nil"/>
              <w:left w:val="nil"/>
              <w:bottom w:val="single" w:sz="4" w:space="0" w:color="auto"/>
              <w:right w:val="single" w:sz="4" w:space="0" w:color="auto"/>
            </w:tcBorders>
            <w:shd w:val="clear" w:color="auto" w:fill="auto"/>
            <w:vAlign w:val="center"/>
            <w:hideMark/>
          </w:tcPr>
          <w:p w14:paraId="538CFDCD" w14:textId="77777777" w:rsidR="00E266E9" w:rsidRPr="00E266E9" w:rsidRDefault="00E266E9" w:rsidP="00E266E9">
            <w:pPr>
              <w:overflowPunct/>
              <w:autoSpaceDE/>
              <w:autoSpaceDN/>
              <w:adjustRightInd/>
              <w:spacing w:after="0"/>
              <w:jc w:val="center"/>
              <w:textAlignment w:val="auto"/>
              <w:rPr>
                <w:color w:val="000000"/>
                <w:sz w:val="18"/>
                <w:szCs w:val="18"/>
              </w:rPr>
            </w:pPr>
            <w:r w:rsidRPr="00E266E9">
              <w:rPr>
                <w:color w:val="000000"/>
                <w:sz w:val="18"/>
                <w:szCs w:val="18"/>
              </w:rPr>
              <w:t>N</w:t>
            </w:r>
            <w:r w:rsidRPr="00E266E9">
              <w:rPr>
                <w:color w:val="000000"/>
                <w:sz w:val="18"/>
                <w:szCs w:val="18"/>
                <w:vertAlign w:val="subscript"/>
              </w:rPr>
              <w:t>RB</w:t>
            </w:r>
          </w:p>
        </w:tc>
        <w:tc>
          <w:tcPr>
            <w:tcW w:w="560" w:type="dxa"/>
            <w:tcBorders>
              <w:top w:val="nil"/>
              <w:left w:val="nil"/>
              <w:bottom w:val="single" w:sz="4" w:space="0" w:color="auto"/>
              <w:right w:val="single" w:sz="4" w:space="0" w:color="auto"/>
            </w:tcBorders>
            <w:shd w:val="clear" w:color="auto" w:fill="auto"/>
            <w:vAlign w:val="center"/>
            <w:hideMark/>
          </w:tcPr>
          <w:p w14:paraId="62F1954F" w14:textId="77777777" w:rsidR="00E266E9" w:rsidRPr="00E266E9" w:rsidRDefault="00E266E9" w:rsidP="00E266E9">
            <w:pPr>
              <w:overflowPunct/>
              <w:autoSpaceDE/>
              <w:autoSpaceDN/>
              <w:adjustRightInd/>
              <w:spacing w:after="0"/>
              <w:jc w:val="center"/>
              <w:textAlignment w:val="auto"/>
              <w:rPr>
                <w:color w:val="000000"/>
                <w:sz w:val="18"/>
                <w:szCs w:val="18"/>
              </w:rPr>
            </w:pPr>
            <w:r w:rsidRPr="00E266E9">
              <w:rPr>
                <w:color w:val="000000"/>
                <w:sz w:val="18"/>
                <w:szCs w:val="18"/>
              </w:rPr>
              <w:t>N</w:t>
            </w:r>
            <w:r w:rsidRPr="00E266E9">
              <w:rPr>
                <w:color w:val="000000"/>
                <w:sz w:val="18"/>
                <w:szCs w:val="18"/>
                <w:vertAlign w:val="subscript"/>
              </w:rPr>
              <w:t>RB</w:t>
            </w:r>
          </w:p>
        </w:tc>
        <w:tc>
          <w:tcPr>
            <w:tcW w:w="560" w:type="dxa"/>
            <w:tcBorders>
              <w:top w:val="nil"/>
              <w:left w:val="nil"/>
              <w:bottom w:val="single" w:sz="4" w:space="0" w:color="auto"/>
              <w:right w:val="single" w:sz="4" w:space="0" w:color="auto"/>
            </w:tcBorders>
            <w:shd w:val="clear" w:color="auto" w:fill="auto"/>
            <w:vAlign w:val="center"/>
            <w:hideMark/>
          </w:tcPr>
          <w:p w14:paraId="68F9F0DB" w14:textId="77777777" w:rsidR="00E266E9" w:rsidRPr="00E266E9" w:rsidRDefault="00E266E9" w:rsidP="00E266E9">
            <w:pPr>
              <w:overflowPunct/>
              <w:autoSpaceDE/>
              <w:autoSpaceDN/>
              <w:adjustRightInd/>
              <w:spacing w:after="0"/>
              <w:jc w:val="center"/>
              <w:textAlignment w:val="auto"/>
              <w:rPr>
                <w:color w:val="000000"/>
                <w:sz w:val="18"/>
                <w:szCs w:val="18"/>
              </w:rPr>
            </w:pPr>
            <w:r w:rsidRPr="00E266E9">
              <w:rPr>
                <w:color w:val="000000"/>
                <w:sz w:val="18"/>
                <w:szCs w:val="18"/>
              </w:rPr>
              <w:t>N</w:t>
            </w:r>
            <w:r w:rsidRPr="00E266E9">
              <w:rPr>
                <w:color w:val="000000"/>
                <w:sz w:val="18"/>
                <w:szCs w:val="18"/>
                <w:vertAlign w:val="subscript"/>
              </w:rPr>
              <w:t>RB</w:t>
            </w:r>
          </w:p>
        </w:tc>
        <w:tc>
          <w:tcPr>
            <w:tcW w:w="560" w:type="dxa"/>
            <w:tcBorders>
              <w:top w:val="nil"/>
              <w:left w:val="nil"/>
              <w:bottom w:val="single" w:sz="4" w:space="0" w:color="auto"/>
              <w:right w:val="single" w:sz="4" w:space="0" w:color="auto"/>
            </w:tcBorders>
            <w:shd w:val="clear" w:color="auto" w:fill="auto"/>
            <w:vAlign w:val="center"/>
            <w:hideMark/>
          </w:tcPr>
          <w:p w14:paraId="5799F6BF" w14:textId="77777777" w:rsidR="00E266E9" w:rsidRPr="00E266E9" w:rsidRDefault="00E266E9" w:rsidP="00E266E9">
            <w:pPr>
              <w:overflowPunct/>
              <w:autoSpaceDE/>
              <w:autoSpaceDN/>
              <w:adjustRightInd/>
              <w:spacing w:after="0"/>
              <w:jc w:val="center"/>
              <w:textAlignment w:val="auto"/>
              <w:rPr>
                <w:color w:val="000000"/>
                <w:sz w:val="18"/>
                <w:szCs w:val="18"/>
              </w:rPr>
            </w:pPr>
            <w:r w:rsidRPr="00E266E9">
              <w:rPr>
                <w:color w:val="000000"/>
                <w:sz w:val="18"/>
                <w:szCs w:val="18"/>
              </w:rPr>
              <w:t>N</w:t>
            </w:r>
            <w:r w:rsidRPr="00E266E9">
              <w:rPr>
                <w:color w:val="000000"/>
                <w:sz w:val="18"/>
                <w:szCs w:val="18"/>
                <w:vertAlign w:val="subscript"/>
              </w:rPr>
              <w:t>RB</w:t>
            </w:r>
          </w:p>
        </w:tc>
      </w:tr>
      <w:tr w:rsidR="00E266E9" w:rsidRPr="00E266E9" w14:paraId="1AF84A64" w14:textId="77777777" w:rsidTr="000613D8">
        <w:trPr>
          <w:trHeight w:val="240"/>
          <w:jc w:val="center"/>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1E1B180E" w14:textId="77777777" w:rsidR="00E266E9" w:rsidRPr="00E266E9" w:rsidRDefault="00E266E9" w:rsidP="00E266E9">
            <w:pPr>
              <w:overflowPunct/>
              <w:autoSpaceDE/>
              <w:autoSpaceDN/>
              <w:adjustRightInd/>
              <w:spacing w:after="0"/>
              <w:jc w:val="center"/>
              <w:textAlignment w:val="auto"/>
              <w:rPr>
                <w:color w:val="000000"/>
                <w:sz w:val="18"/>
                <w:szCs w:val="18"/>
              </w:rPr>
            </w:pPr>
            <w:r w:rsidRPr="00E266E9">
              <w:rPr>
                <w:color w:val="000000"/>
                <w:sz w:val="18"/>
                <w:szCs w:val="18"/>
              </w:rPr>
              <w:t>15</w:t>
            </w:r>
          </w:p>
        </w:tc>
        <w:tc>
          <w:tcPr>
            <w:tcW w:w="580" w:type="dxa"/>
            <w:tcBorders>
              <w:top w:val="nil"/>
              <w:left w:val="nil"/>
              <w:bottom w:val="single" w:sz="4" w:space="0" w:color="auto"/>
              <w:right w:val="single" w:sz="4" w:space="0" w:color="auto"/>
            </w:tcBorders>
            <w:shd w:val="clear" w:color="auto" w:fill="auto"/>
            <w:vAlign w:val="center"/>
            <w:hideMark/>
          </w:tcPr>
          <w:p w14:paraId="10768E9B" w14:textId="77777777" w:rsidR="00E266E9" w:rsidRPr="00E266E9" w:rsidRDefault="00E266E9" w:rsidP="00E266E9">
            <w:pPr>
              <w:overflowPunct/>
              <w:autoSpaceDE/>
              <w:autoSpaceDN/>
              <w:adjustRightInd/>
              <w:spacing w:after="0"/>
              <w:jc w:val="center"/>
              <w:textAlignment w:val="auto"/>
              <w:rPr>
                <w:color w:val="000000"/>
                <w:sz w:val="18"/>
                <w:szCs w:val="18"/>
              </w:rPr>
            </w:pPr>
            <w:r w:rsidRPr="000613D8">
              <w:rPr>
                <w:color w:val="000000"/>
                <w:sz w:val="18"/>
                <w:szCs w:val="18"/>
                <w:highlight w:val="darkYellow"/>
              </w:rPr>
              <w:t>25</w:t>
            </w:r>
          </w:p>
        </w:tc>
        <w:tc>
          <w:tcPr>
            <w:tcW w:w="580" w:type="dxa"/>
            <w:tcBorders>
              <w:top w:val="nil"/>
              <w:left w:val="nil"/>
              <w:bottom w:val="single" w:sz="4" w:space="0" w:color="auto"/>
              <w:right w:val="single" w:sz="4" w:space="0" w:color="auto"/>
            </w:tcBorders>
            <w:shd w:val="clear" w:color="auto" w:fill="auto"/>
            <w:vAlign w:val="center"/>
            <w:hideMark/>
          </w:tcPr>
          <w:p w14:paraId="2F4988A8" w14:textId="77777777" w:rsidR="00E266E9" w:rsidRPr="00E266E9" w:rsidRDefault="00E266E9" w:rsidP="00E266E9">
            <w:pPr>
              <w:overflowPunct/>
              <w:autoSpaceDE/>
              <w:autoSpaceDN/>
              <w:adjustRightInd/>
              <w:spacing w:after="0"/>
              <w:jc w:val="center"/>
              <w:textAlignment w:val="auto"/>
              <w:rPr>
                <w:color w:val="000000"/>
                <w:sz w:val="18"/>
                <w:szCs w:val="18"/>
              </w:rPr>
            </w:pPr>
            <w:r w:rsidRPr="000613D8">
              <w:rPr>
                <w:color w:val="000000"/>
                <w:sz w:val="18"/>
                <w:szCs w:val="18"/>
                <w:highlight w:val="yellow"/>
              </w:rPr>
              <w:t>52</w:t>
            </w:r>
          </w:p>
        </w:tc>
        <w:tc>
          <w:tcPr>
            <w:tcW w:w="580" w:type="dxa"/>
            <w:tcBorders>
              <w:top w:val="nil"/>
              <w:left w:val="nil"/>
              <w:bottom w:val="single" w:sz="4" w:space="0" w:color="auto"/>
              <w:right w:val="single" w:sz="4" w:space="0" w:color="auto"/>
            </w:tcBorders>
            <w:shd w:val="clear" w:color="auto" w:fill="auto"/>
            <w:vAlign w:val="center"/>
            <w:hideMark/>
          </w:tcPr>
          <w:p w14:paraId="330C5F49" w14:textId="77777777" w:rsidR="00E266E9" w:rsidRPr="00E266E9" w:rsidRDefault="00E266E9" w:rsidP="00E266E9">
            <w:pPr>
              <w:overflowPunct/>
              <w:autoSpaceDE/>
              <w:autoSpaceDN/>
              <w:adjustRightInd/>
              <w:spacing w:after="0"/>
              <w:jc w:val="center"/>
              <w:textAlignment w:val="auto"/>
              <w:rPr>
                <w:color w:val="000000"/>
                <w:sz w:val="18"/>
                <w:szCs w:val="18"/>
              </w:rPr>
            </w:pPr>
            <w:r w:rsidRPr="000613D8">
              <w:rPr>
                <w:color w:val="000000"/>
                <w:sz w:val="18"/>
                <w:szCs w:val="18"/>
                <w:highlight w:val="darkCyan"/>
              </w:rPr>
              <w:t>79</w:t>
            </w:r>
          </w:p>
        </w:tc>
        <w:tc>
          <w:tcPr>
            <w:tcW w:w="580" w:type="dxa"/>
            <w:tcBorders>
              <w:top w:val="nil"/>
              <w:left w:val="nil"/>
              <w:bottom w:val="single" w:sz="4" w:space="0" w:color="auto"/>
              <w:right w:val="single" w:sz="4" w:space="0" w:color="auto"/>
            </w:tcBorders>
            <w:shd w:val="clear" w:color="auto" w:fill="auto"/>
            <w:vAlign w:val="center"/>
            <w:hideMark/>
          </w:tcPr>
          <w:p w14:paraId="7CB04D94" w14:textId="77777777" w:rsidR="00E266E9" w:rsidRPr="00E266E9" w:rsidRDefault="00E266E9" w:rsidP="00E266E9">
            <w:pPr>
              <w:overflowPunct/>
              <w:autoSpaceDE/>
              <w:autoSpaceDN/>
              <w:adjustRightInd/>
              <w:spacing w:after="0"/>
              <w:jc w:val="center"/>
              <w:textAlignment w:val="auto"/>
              <w:rPr>
                <w:color w:val="000000"/>
                <w:sz w:val="18"/>
                <w:szCs w:val="18"/>
              </w:rPr>
            </w:pPr>
            <w:r w:rsidRPr="000613D8">
              <w:rPr>
                <w:color w:val="000000"/>
                <w:sz w:val="18"/>
                <w:szCs w:val="18"/>
                <w:highlight w:val="cyan"/>
              </w:rPr>
              <w:t>106</w:t>
            </w:r>
          </w:p>
        </w:tc>
        <w:tc>
          <w:tcPr>
            <w:tcW w:w="580" w:type="dxa"/>
            <w:tcBorders>
              <w:top w:val="nil"/>
              <w:left w:val="nil"/>
              <w:bottom w:val="single" w:sz="4" w:space="0" w:color="auto"/>
              <w:right w:val="single" w:sz="4" w:space="0" w:color="auto"/>
            </w:tcBorders>
            <w:shd w:val="clear" w:color="auto" w:fill="auto"/>
            <w:vAlign w:val="center"/>
            <w:hideMark/>
          </w:tcPr>
          <w:p w14:paraId="129D33B5" w14:textId="77777777" w:rsidR="00E266E9" w:rsidRPr="00E266E9" w:rsidRDefault="00E266E9" w:rsidP="00E266E9">
            <w:pPr>
              <w:overflowPunct/>
              <w:autoSpaceDE/>
              <w:autoSpaceDN/>
              <w:adjustRightInd/>
              <w:spacing w:after="0"/>
              <w:jc w:val="center"/>
              <w:textAlignment w:val="auto"/>
              <w:rPr>
                <w:color w:val="000000"/>
                <w:sz w:val="18"/>
                <w:szCs w:val="18"/>
              </w:rPr>
            </w:pPr>
            <w:r w:rsidRPr="000613D8">
              <w:rPr>
                <w:color w:val="000000"/>
                <w:sz w:val="18"/>
                <w:szCs w:val="18"/>
                <w:highlight w:val="magenta"/>
              </w:rPr>
              <w:t>133</w:t>
            </w:r>
          </w:p>
        </w:tc>
        <w:tc>
          <w:tcPr>
            <w:tcW w:w="580" w:type="dxa"/>
            <w:tcBorders>
              <w:top w:val="nil"/>
              <w:left w:val="nil"/>
              <w:bottom w:val="single" w:sz="4" w:space="0" w:color="auto"/>
              <w:right w:val="single" w:sz="4" w:space="0" w:color="auto"/>
            </w:tcBorders>
            <w:shd w:val="clear" w:color="auto" w:fill="auto"/>
            <w:vAlign w:val="center"/>
            <w:hideMark/>
          </w:tcPr>
          <w:p w14:paraId="33D573DB" w14:textId="77777777" w:rsidR="00E266E9" w:rsidRPr="00E266E9" w:rsidRDefault="00E266E9" w:rsidP="00E266E9">
            <w:pPr>
              <w:overflowPunct/>
              <w:autoSpaceDE/>
              <w:autoSpaceDN/>
              <w:adjustRightInd/>
              <w:spacing w:after="0"/>
              <w:jc w:val="center"/>
              <w:textAlignment w:val="auto"/>
              <w:rPr>
                <w:color w:val="000000"/>
                <w:sz w:val="18"/>
                <w:szCs w:val="18"/>
              </w:rPr>
            </w:pPr>
            <w:r w:rsidRPr="000613D8">
              <w:rPr>
                <w:color w:val="000000"/>
                <w:sz w:val="18"/>
                <w:szCs w:val="18"/>
                <w:highlight w:val="red"/>
              </w:rPr>
              <w:t>160</w:t>
            </w:r>
          </w:p>
        </w:tc>
        <w:tc>
          <w:tcPr>
            <w:tcW w:w="580" w:type="dxa"/>
            <w:tcBorders>
              <w:top w:val="nil"/>
              <w:left w:val="nil"/>
              <w:bottom w:val="single" w:sz="4" w:space="0" w:color="auto"/>
              <w:right w:val="single" w:sz="4" w:space="0" w:color="auto"/>
            </w:tcBorders>
            <w:shd w:val="clear" w:color="auto" w:fill="auto"/>
            <w:vAlign w:val="center"/>
            <w:hideMark/>
          </w:tcPr>
          <w:p w14:paraId="1ECA6EE1" w14:textId="77777777" w:rsidR="00E266E9" w:rsidRPr="00E266E9" w:rsidRDefault="00E266E9" w:rsidP="00E266E9">
            <w:pPr>
              <w:overflowPunct/>
              <w:autoSpaceDE/>
              <w:autoSpaceDN/>
              <w:adjustRightInd/>
              <w:spacing w:after="0"/>
              <w:jc w:val="center"/>
              <w:textAlignment w:val="auto"/>
              <w:rPr>
                <w:color w:val="000000"/>
                <w:sz w:val="18"/>
                <w:szCs w:val="18"/>
              </w:rPr>
            </w:pPr>
            <w:r w:rsidRPr="00E266E9">
              <w:rPr>
                <w:color w:val="000000"/>
                <w:sz w:val="18"/>
                <w:szCs w:val="18"/>
              </w:rPr>
              <w:t>216</w:t>
            </w:r>
          </w:p>
        </w:tc>
        <w:tc>
          <w:tcPr>
            <w:tcW w:w="580" w:type="dxa"/>
            <w:tcBorders>
              <w:top w:val="nil"/>
              <w:left w:val="nil"/>
              <w:bottom w:val="single" w:sz="4" w:space="0" w:color="auto"/>
              <w:right w:val="single" w:sz="4" w:space="0" w:color="auto"/>
            </w:tcBorders>
            <w:shd w:val="clear" w:color="auto" w:fill="auto"/>
            <w:vAlign w:val="center"/>
            <w:hideMark/>
          </w:tcPr>
          <w:p w14:paraId="570C6ACE" w14:textId="77777777" w:rsidR="00E266E9" w:rsidRPr="00E266E9" w:rsidRDefault="00E266E9" w:rsidP="00E266E9">
            <w:pPr>
              <w:overflowPunct/>
              <w:autoSpaceDE/>
              <w:autoSpaceDN/>
              <w:adjustRightInd/>
              <w:spacing w:after="0"/>
              <w:jc w:val="center"/>
              <w:textAlignment w:val="auto"/>
              <w:rPr>
                <w:color w:val="000000"/>
                <w:sz w:val="18"/>
                <w:szCs w:val="18"/>
              </w:rPr>
            </w:pPr>
            <w:r w:rsidRPr="00E22013">
              <w:rPr>
                <w:color w:val="000000"/>
                <w:sz w:val="18"/>
                <w:szCs w:val="18"/>
                <w:highlight w:val="green"/>
              </w:rPr>
              <w:t>270</w:t>
            </w:r>
          </w:p>
        </w:tc>
        <w:tc>
          <w:tcPr>
            <w:tcW w:w="560" w:type="dxa"/>
            <w:tcBorders>
              <w:top w:val="nil"/>
              <w:left w:val="nil"/>
              <w:bottom w:val="single" w:sz="4" w:space="0" w:color="auto"/>
              <w:right w:val="single" w:sz="4" w:space="0" w:color="auto"/>
            </w:tcBorders>
            <w:shd w:val="clear" w:color="auto" w:fill="auto"/>
            <w:noWrap/>
            <w:vAlign w:val="center"/>
            <w:hideMark/>
          </w:tcPr>
          <w:p w14:paraId="126A3C1A" w14:textId="77777777" w:rsidR="00E266E9" w:rsidRPr="00E266E9" w:rsidRDefault="00E266E9" w:rsidP="00E266E9">
            <w:pPr>
              <w:overflowPunct/>
              <w:autoSpaceDE/>
              <w:autoSpaceDN/>
              <w:adjustRightInd/>
              <w:spacing w:after="0"/>
              <w:jc w:val="center"/>
              <w:textAlignment w:val="auto"/>
              <w:rPr>
                <w:rFonts w:ascii="Calibri" w:hAnsi="Calibri"/>
                <w:color w:val="000000"/>
                <w:sz w:val="18"/>
                <w:szCs w:val="18"/>
              </w:rPr>
            </w:pPr>
            <w:r w:rsidRPr="00E266E9">
              <w:rPr>
                <w:rFonts w:ascii="Calibri" w:hAnsi="Calibri"/>
                <w:color w:val="000000"/>
                <w:sz w:val="18"/>
                <w:szCs w:val="18"/>
              </w:rPr>
              <w:t>N.A</w:t>
            </w:r>
          </w:p>
        </w:tc>
        <w:tc>
          <w:tcPr>
            <w:tcW w:w="540" w:type="dxa"/>
            <w:tcBorders>
              <w:top w:val="nil"/>
              <w:left w:val="nil"/>
              <w:bottom w:val="single" w:sz="4" w:space="0" w:color="auto"/>
              <w:right w:val="single" w:sz="4" w:space="0" w:color="auto"/>
            </w:tcBorders>
            <w:shd w:val="clear" w:color="auto" w:fill="auto"/>
            <w:noWrap/>
            <w:vAlign w:val="center"/>
            <w:hideMark/>
          </w:tcPr>
          <w:p w14:paraId="10906E11" w14:textId="77777777" w:rsidR="00E266E9" w:rsidRPr="00E266E9" w:rsidRDefault="00E266E9" w:rsidP="00E266E9">
            <w:pPr>
              <w:overflowPunct/>
              <w:autoSpaceDE/>
              <w:autoSpaceDN/>
              <w:adjustRightInd/>
              <w:spacing w:after="0"/>
              <w:jc w:val="center"/>
              <w:textAlignment w:val="auto"/>
              <w:rPr>
                <w:rFonts w:ascii="Calibri" w:hAnsi="Calibri"/>
                <w:color w:val="000000"/>
                <w:sz w:val="18"/>
                <w:szCs w:val="18"/>
              </w:rPr>
            </w:pPr>
            <w:r w:rsidRPr="00E266E9">
              <w:rPr>
                <w:rFonts w:ascii="Calibri" w:hAnsi="Calibri"/>
                <w:color w:val="000000"/>
                <w:sz w:val="18"/>
                <w:szCs w:val="18"/>
              </w:rPr>
              <w:t>N.A</w:t>
            </w:r>
          </w:p>
        </w:tc>
        <w:tc>
          <w:tcPr>
            <w:tcW w:w="560" w:type="dxa"/>
            <w:tcBorders>
              <w:top w:val="nil"/>
              <w:left w:val="nil"/>
              <w:bottom w:val="single" w:sz="4" w:space="0" w:color="auto"/>
              <w:right w:val="single" w:sz="4" w:space="0" w:color="auto"/>
            </w:tcBorders>
            <w:shd w:val="clear" w:color="auto" w:fill="auto"/>
            <w:noWrap/>
            <w:vAlign w:val="center"/>
            <w:hideMark/>
          </w:tcPr>
          <w:p w14:paraId="0FDB33A2" w14:textId="77777777" w:rsidR="00E266E9" w:rsidRPr="00E266E9" w:rsidRDefault="00E266E9" w:rsidP="00E266E9">
            <w:pPr>
              <w:overflowPunct/>
              <w:autoSpaceDE/>
              <w:autoSpaceDN/>
              <w:adjustRightInd/>
              <w:spacing w:after="0"/>
              <w:jc w:val="center"/>
              <w:textAlignment w:val="auto"/>
              <w:rPr>
                <w:rFonts w:ascii="Calibri" w:hAnsi="Calibri"/>
                <w:color w:val="000000"/>
                <w:sz w:val="18"/>
                <w:szCs w:val="18"/>
              </w:rPr>
            </w:pPr>
            <w:r w:rsidRPr="00E266E9">
              <w:rPr>
                <w:rFonts w:ascii="Calibri" w:hAnsi="Calibri"/>
                <w:color w:val="000000"/>
                <w:sz w:val="18"/>
                <w:szCs w:val="18"/>
              </w:rPr>
              <w:t>N.A</w:t>
            </w:r>
          </w:p>
        </w:tc>
        <w:tc>
          <w:tcPr>
            <w:tcW w:w="560" w:type="dxa"/>
            <w:tcBorders>
              <w:top w:val="nil"/>
              <w:left w:val="nil"/>
              <w:bottom w:val="single" w:sz="4" w:space="0" w:color="auto"/>
              <w:right w:val="single" w:sz="4" w:space="0" w:color="auto"/>
            </w:tcBorders>
            <w:shd w:val="clear" w:color="auto" w:fill="auto"/>
            <w:noWrap/>
            <w:vAlign w:val="center"/>
            <w:hideMark/>
          </w:tcPr>
          <w:p w14:paraId="67587CD4" w14:textId="77777777" w:rsidR="00E266E9" w:rsidRPr="00E266E9" w:rsidRDefault="00E266E9" w:rsidP="00E266E9">
            <w:pPr>
              <w:overflowPunct/>
              <w:autoSpaceDE/>
              <w:autoSpaceDN/>
              <w:adjustRightInd/>
              <w:spacing w:after="0"/>
              <w:jc w:val="center"/>
              <w:textAlignment w:val="auto"/>
              <w:rPr>
                <w:rFonts w:ascii="Calibri" w:hAnsi="Calibri"/>
                <w:color w:val="000000"/>
                <w:sz w:val="18"/>
                <w:szCs w:val="18"/>
              </w:rPr>
            </w:pPr>
            <w:r w:rsidRPr="00E266E9">
              <w:rPr>
                <w:rFonts w:ascii="Calibri" w:hAnsi="Calibri"/>
                <w:color w:val="000000"/>
                <w:sz w:val="18"/>
                <w:szCs w:val="18"/>
              </w:rPr>
              <w:t>N.A</w:t>
            </w:r>
          </w:p>
        </w:tc>
        <w:tc>
          <w:tcPr>
            <w:tcW w:w="560" w:type="dxa"/>
            <w:tcBorders>
              <w:top w:val="nil"/>
              <w:left w:val="nil"/>
              <w:bottom w:val="single" w:sz="4" w:space="0" w:color="auto"/>
              <w:right w:val="single" w:sz="4" w:space="0" w:color="auto"/>
            </w:tcBorders>
            <w:shd w:val="clear" w:color="auto" w:fill="auto"/>
            <w:noWrap/>
            <w:vAlign w:val="center"/>
            <w:hideMark/>
          </w:tcPr>
          <w:p w14:paraId="48B9CCF2" w14:textId="77777777" w:rsidR="00E266E9" w:rsidRPr="00E266E9" w:rsidRDefault="00E266E9" w:rsidP="00E266E9">
            <w:pPr>
              <w:overflowPunct/>
              <w:autoSpaceDE/>
              <w:autoSpaceDN/>
              <w:adjustRightInd/>
              <w:spacing w:after="0"/>
              <w:jc w:val="center"/>
              <w:textAlignment w:val="auto"/>
              <w:rPr>
                <w:rFonts w:ascii="Calibri" w:hAnsi="Calibri"/>
                <w:color w:val="000000"/>
                <w:sz w:val="18"/>
                <w:szCs w:val="18"/>
              </w:rPr>
            </w:pPr>
            <w:r w:rsidRPr="00E266E9">
              <w:rPr>
                <w:rFonts w:ascii="Calibri" w:hAnsi="Calibri"/>
                <w:color w:val="000000"/>
                <w:sz w:val="18"/>
                <w:szCs w:val="18"/>
              </w:rPr>
              <w:t>N.A</w:t>
            </w:r>
          </w:p>
        </w:tc>
      </w:tr>
      <w:tr w:rsidR="00E266E9" w:rsidRPr="00E266E9" w14:paraId="110CEFEE" w14:textId="77777777" w:rsidTr="000613D8">
        <w:trPr>
          <w:trHeight w:val="240"/>
          <w:jc w:val="center"/>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424A9613" w14:textId="77777777" w:rsidR="00E266E9" w:rsidRPr="00E266E9" w:rsidRDefault="00E266E9" w:rsidP="00E266E9">
            <w:pPr>
              <w:overflowPunct/>
              <w:autoSpaceDE/>
              <w:autoSpaceDN/>
              <w:adjustRightInd/>
              <w:spacing w:after="0"/>
              <w:jc w:val="center"/>
              <w:textAlignment w:val="auto"/>
              <w:rPr>
                <w:color w:val="000000"/>
                <w:sz w:val="18"/>
                <w:szCs w:val="18"/>
              </w:rPr>
            </w:pPr>
            <w:r w:rsidRPr="00E266E9">
              <w:rPr>
                <w:color w:val="000000"/>
                <w:sz w:val="18"/>
                <w:szCs w:val="18"/>
              </w:rPr>
              <w:t>30</w:t>
            </w:r>
          </w:p>
        </w:tc>
        <w:tc>
          <w:tcPr>
            <w:tcW w:w="580" w:type="dxa"/>
            <w:tcBorders>
              <w:top w:val="nil"/>
              <w:left w:val="nil"/>
              <w:bottom w:val="single" w:sz="4" w:space="0" w:color="auto"/>
              <w:right w:val="single" w:sz="4" w:space="0" w:color="auto"/>
            </w:tcBorders>
            <w:shd w:val="clear" w:color="auto" w:fill="auto"/>
            <w:vAlign w:val="center"/>
            <w:hideMark/>
          </w:tcPr>
          <w:p w14:paraId="426C3623" w14:textId="77777777" w:rsidR="00E266E9" w:rsidRPr="00E266E9" w:rsidRDefault="00E266E9" w:rsidP="00E266E9">
            <w:pPr>
              <w:overflowPunct/>
              <w:autoSpaceDE/>
              <w:autoSpaceDN/>
              <w:adjustRightInd/>
              <w:spacing w:after="0"/>
              <w:jc w:val="center"/>
              <w:textAlignment w:val="auto"/>
              <w:rPr>
                <w:color w:val="000000"/>
                <w:sz w:val="18"/>
                <w:szCs w:val="18"/>
              </w:rPr>
            </w:pPr>
            <w:r w:rsidRPr="00E266E9">
              <w:rPr>
                <w:color w:val="000000"/>
                <w:sz w:val="18"/>
                <w:szCs w:val="18"/>
              </w:rPr>
              <w:t>11</w:t>
            </w:r>
          </w:p>
        </w:tc>
        <w:tc>
          <w:tcPr>
            <w:tcW w:w="580" w:type="dxa"/>
            <w:tcBorders>
              <w:top w:val="nil"/>
              <w:left w:val="nil"/>
              <w:bottom w:val="single" w:sz="4" w:space="0" w:color="auto"/>
              <w:right w:val="single" w:sz="4" w:space="0" w:color="auto"/>
            </w:tcBorders>
            <w:shd w:val="clear" w:color="auto" w:fill="auto"/>
            <w:vAlign w:val="center"/>
            <w:hideMark/>
          </w:tcPr>
          <w:p w14:paraId="4C65B162" w14:textId="77777777" w:rsidR="00E266E9" w:rsidRPr="00E266E9" w:rsidRDefault="00E266E9" w:rsidP="00E266E9">
            <w:pPr>
              <w:overflowPunct/>
              <w:autoSpaceDE/>
              <w:autoSpaceDN/>
              <w:adjustRightInd/>
              <w:spacing w:after="0"/>
              <w:jc w:val="center"/>
              <w:textAlignment w:val="auto"/>
              <w:rPr>
                <w:color w:val="000000"/>
                <w:sz w:val="18"/>
                <w:szCs w:val="18"/>
              </w:rPr>
            </w:pPr>
            <w:r w:rsidRPr="000613D8">
              <w:rPr>
                <w:color w:val="000000"/>
                <w:sz w:val="18"/>
                <w:szCs w:val="18"/>
                <w:highlight w:val="darkYellow"/>
              </w:rPr>
              <w:t>24</w:t>
            </w:r>
          </w:p>
        </w:tc>
        <w:tc>
          <w:tcPr>
            <w:tcW w:w="580" w:type="dxa"/>
            <w:tcBorders>
              <w:top w:val="nil"/>
              <w:left w:val="nil"/>
              <w:bottom w:val="single" w:sz="4" w:space="0" w:color="auto"/>
              <w:right w:val="single" w:sz="4" w:space="0" w:color="auto"/>
            </w:tcBorders>
            <w:shd w:val="clear" w:color="auto" w:fill="auto"/>
            <w:vAlign w:val="center"/>
            <w:hideMark/>
          </w:tcPr>
          <w:p w14:paraId="7452E02E" w14:textId="77777777" w:rsidR="00E266E9" w:rsidRPr="00E266E9" w:rsidRDefault="00E266E9" w:rsidP="00E266E9">
            <w:pPr>
              <w:overflowPunct/>
              <w:autoSpaceDE/>
              <w:autoSpaceDN/>
              <w:adjustRightInd/>
              <w:spacing w:after="0"/>
              <w:jc w:val="center"/>
              <w:textAlignment w:val="auto"/>
              <w:rPr>
                <w:color w:val="000000"/>
                <w:sz w:val="18"/>
                <w:szCs w:val="18"/>
              </w:rPr>
            </w:pPr>
            <w:r w:rsidRPr="00E266E9">
              <w:rPr>
                <w:color w:val="000000"/>
                <w:sz w:val="18"/>
                <w:szCs w:val="18"/>
              </w:rPr>
              <w:t>38</w:t>
            </w:r>
          </w:p>
        </w:tc>
        <w:tc>
          <w:tcPr>
            <w:tcW w:w="580" w:type="dxa"/>
            <w:tcBorders>
              <w:top w:val="nil"/>
              <w:left w:val="nil"/>
              <w:bottom w:val="single" w:sz="4" w:space="0" w:color="auto"/>
              <w:right w:val="single" w:sz="4" w:space="0" w:color="auto"/>
            </w:tcBorders>
            <w:shd w:val="clear" w:color="auto" w:fill="auto"/>
            <w:vAlign w:val="center"/>
            <w:hideMark/>
          </w:tcPr>
          <w:p w14:paraId="2A6F2DE9" w14:textId="77777777" w:rsidR="00E266E9" w:rsidRPr="00E266E9" w:rsidRDefault="00E266E9" w:rsidP="00E266E9">
            <w:pPr>
              <w:overflowPunct/>
              <w:autoSpaceDE/>
              <w:autoSpaceDN/>
              <w:adjustRightInd/>
              <w:spacing w:after="0"/>
              <w:jc w:val="center"/>
              <w:textAlignment w:val="auto"/>
              <w:rPr>
                <w:color w:val="000000"/>
                <w:sz w:val="18"/>
                <w:szCs w:val="18"/>
              </w:rPr>
            </w:pPr>
            <w:r w:rsidRPr="000613D8">
              <w:rPr>
                <w:color w:val="000000"/>
                <w:sz w:val="18"/>
                <w:szCs w:val="18"/>
                <w:highlight w:val="yellow"/>
              </w:rPr>
              <w:t>51</w:t>
            </w:r>
          </w:p>
        </w:tc>
        <w:tc>
          <w:tcPr>
            <w:tcW w:w="580" w:type="dxa"/>
            <w:tcBorders>
              <w:top w:val="nil"/>
              <w:left w:val="nil"/>
              <w:bottom w:val="single" w:sz="4" w:space="0" w:color="auto"/>
              <w:right w:val="single" w:sz="4" w:space="0" w:color="auto"/>
            </w:tcBorders>
            <w:shd w:val="clear" w:color="auto" w:fill="auto"/>
            <w:vAlign w:val="center"/>
            <w:hideMark/>
          </w:tcPr>
          <w:p w14:paraId="06411E63" w14:textId="77777777" w:rsidR="00E266E9" w:rsidRPr="00E266E9" w:rsidRDefault="00E266E9" w:rsidP="00E266E9">
            <w:pPr>
              <w:overflowPunct/>
              <w:autoSpaceDE/>
              <w:autoSpaceDN/>
              <w:adjustRightInd/>
              <w:spacing w:after="0"/>
              <w:jc w:val="center"/>
              <w:textAlignment w:val="auto"/>
              <w:rPr>
                <w:color w:val="000000"/>
                <w:sz w:val="18"/>
                <w:szCs w:val="18"/>
              </w:rPr>
            </w:pPr>
            <w:r w:rsidRPr="00E266E9">
              <w:rPr>
                <w:color w:val="000000"/>
                <w:sz w:val="18"/>
                <w:szCs w:val="18"/>
              </w:rPr>
              <w:t>65</w:t>
            </w:r>
          </w:p>
        </w:tc>
        <w:tc>
          <w:tcPr>
            <w:tcW w:w="580" w:type="dxa"/>
            <w:tcBorders>
              <w:top w:val="nil"/>
              <w:left w:val="nil"/>
              <w:bottom w:val="single" w:sz="4" w:space="0" w:color="auto"/>
              <w:right w:val="single" w:sz="4" w:space="0" w:color="auto"/>
            </w:tcBorders>
            <w:shd w:val="clear" w:color="auto" w:fill="auto"/>
            <w:vAlign w:val="center"/>
            <w:hideMark/>
          </w:tcPr>
          <w:p w14:paraId="0B376E2C" w14:textId="77777777" w:rsidR="00E266E9" w:rsidRPr="00E266E9" w:rsidRDefault="00E266E9" w:rsidP="00E266E9">
            <w:pPr>
              <w:overflowPunct/>
              <w:autoSpaceDE/>
              <w:autoSpaceDN/>
              <w:adjustRightInd/>
              <w:spacing w:after="0"/>
              <w:jc w:val="center"/>
              <w:textAlignment w:val="auto"/>
              <w:rPr>
                <w:color w:val="000000"/>
                <w:sz w:val="18"/>
                <w:szCs w:val="18"/>
              </w:rPr>
            </w:pPr>
            <w:r w:rsidRPr="000613D8">
              <w:rPr>
                <w:color w:val="000000"/>
                <w:sz w:val="18"/>
                <w:szCs w:val="18"/>
                <w:highlight w:val="darkCyan"/>
              </w:rPr>
              <w:t>78</w:t>
            </w:r>
          </w:p>
        </w:tc>
        <w:tc>
          <w:tcPr>
            <w:tcW w:w="580" w:type="dxa"/>
            <w:tcBorders>
              <w:top w:val="nil"/>
              <w:left w:val="nil"/>
              <w:bottom w:val="single" w:sz="4" w:space="0" w:color="auto"/>
              <w:right w:val="single" w:sz="4" w:space="0" w:color="auto"/>
            </w:tcBorders>
            <w:shd w:val="clear" w:color="auto" w:fill="auto"/>
            <w:vAlign w:val="center"/>
            <w:hideMark/>
          </w:tcPr>
          <w:p w14:paraId="688A35EB" w14:textId="77777777" w:rsidR="00E266E9" w:rsidRPr="00E266E9" w:rsidRDefault="00E266E9" w:rsidP="00E266E9">
            <w:pPr>
              <w:overflowPunct/>
              <w:autoSpaceDE/>
              <w:autoSpaceDN/>
              <w:adjustRightInd/>
              <w:spacing w:after="0"/>
              <w:jc w:val="center"/>
              <w:textAlignment w:val="auto"/>
              <w:rPr>
                <w:color w:val="000000"/>
                <w:sz w:val="18"/>
                <w:szCs w:val="18"/>
              </w:rPr>
            </w:pPr>
            <w:r w:rsidRPr="000613D8">
              <w:rPr>
                <w:color w:val="000000"/>
                <w:sz w:val="18"/>
                <w:szCs w:val="18"/>
                <w:highlight w:val="cyan"/>
              </w:rPr>
              <w:t>106</w:t>
            </w:r>
          </w:p>
        </w:tc>
        <w:tc>
          <w:tcPr>
            <w:tcW w:w="580" w:type="dxa"/>
            <w:tcBorders>
              <w:top w:val="nil"/>
              <w:left w:val="nil"/>
              <w:bottom w:val="single" w:sz="4" w:space="0" w:color="auto"/>
              <w:right w:val="single" w:sz="4" w:space="0" w:color="auto"/>
            </w:tcBorders>
            <w:shd w:val="clear" w:color="auto" w:fill="auto"/>
            <w:vAlign w:val="center"/>
            <w:hideMark/>
          </w:tcPr>
          <w:p w14:paraId="19437175" w14:textId="77777777" w:rsidR="00E266E9" w:rsidRPr="00E266E9" w:rsidRDefault="00E266E9" w:rsidP="00E266E9">
            <w:pPr>
              <w:overflowPunct/>
              <w:autoSpaceDE/>
              <w:autoSpaceDN/>
              <w:adjustRightInd/>
              <w:spacing w:after="0"/>
              <w:jc w:val="center"/>
              <w:textAlignment w:val="auto"/>
              <w:rPr>
                <w:color w:val="000000"/>
                <w:sz w:val="18"/>
                <w:szCs w:val="18"/>
              </w:rPr>
            </w:pPr>
            <w:r w:rsidRPr="000613D8">
              <w:rPr>
                <w:color w:val="000000"/>
                <w:sz w:val="18"/>
                <w:szCs w:val="18"/>
                <w:highlight w:val="magenta"/>
              </w:rPr>
              <w:t>133</w:t>
            </w:r>
          </w:p>
        </w:tc>
        <w:tc>
          <w:tcPr>
            <w:tcW w:w="560" w:type="dxa"/>
            <w:tcBorders>
              <w:top w:val="nil"/>
              <w:left w:val="nil"/>
              <w:bottom w:val="single" w:sz="4" w:space="0" w:color="auto"/>
              <w:right w:val="single" w:sz="4" w:space="0" w:color="auto"/>
            </w:tcBorders>
            <w:shd w:val="clear" w:color="auto" w:fill="auto"/>
            <w:vAlign w:val="center"/>
            <w:hideMark/>
          </w:tcPr>
          <w:p w14:paraId="4B645D5C" w14:textId="77777777" w:rsidR="00E266E9" w:rsidRPr="00E266E9" w:rsidRDefault="00E266E9" w:rsidP="00E266E9">
            <w:pPr>
              <w:overflowPunct/>
              <w:autoSpaceDE/>
              <w:autoSpaceDN/>
              <w:adjustRightInd/>
              <w:spacing w:after="0"/>
              <w:jc w:val="center"/>
              <w:textAlignment w:val="auto"/>
              <w:rPr>
                <w:color w:val="000000"/>
                <w:sz w:val="18"/>
                <w:szCs w:val="18"/>
              </w:rPr>
            </w:pPr>
            <w:r w:rsidRPr="000613D8">
              <w:rPr>
                <w:color w:val="000000"/>
                <w:sz w:val="18"/>
                <w:szCs w:val="18"/>
                <w:highlight w:val="red"/>
              </w:rPr>
              <w:t>162</w:t>
            </w:r>
          </w:p>
        </w:tc>
        <w:tc>
          <w:tcPr>
            <w:tcW w:w="540" w:type="dxa"/>
            <w:tcBorders>
              <w:top w:val="nil"/>
              <w:left w:val="nil"/>
              <w:bottom w:val="single" w:sz="4" w:space="0" w:color="auto"/>
              <w:right w:val="single" w:sz="4" w:space="0" w:color="auto"/>
            </w:tcBorders>
            <w:shd w:val="clear" w:color="auto" w:fill="BFBFBF" w:themeFill="background1" w:themeFillShade="BF"/>
            <w:vAlign w:val="center"/>
            <w:hideMark/>
          </w:tcPr>
          <w:p w14:paraId="645E73AD" w14:textId="77777777" w:rsidR="00E266E9" w:rsidRPr="00E266E9" w:rsidRDefault="00E266E9" w:rsidP="00E266E9">
            <w:pPr>
              <w:overflowPunct/>
              <w:autoSpaceDE/>
              <w:autoSpaceDN/>
              <w:adjustRightInd/>
              <w:spacing w:after="0"/>
              <w:jc w:val="center"/>
              <w:textAlignment w:val="auto"/>
              <w:rPr>
                <w:color w:val="000000"/>
                <w:sz w:val="18"/>
                <w:szCs w:val="18"/>
              </w:rPr>
            </w:pPr>
            <w:r w:rsidRPr="00E266E9">
              <w:rPr>
                <w:color w:val="000000"/>
                <w:sz w:val="18"/>
                <w:szCs w:val="18"/>
              </w:rPr>
              <w:t>189</w:t>
            </w:r>
          </w:p>
        </w:tc>
        <w:tc>
          <w:tcPr>
            <w:tcW w:w="560" w:type="dxa"/>
            <w:tcBorders>
              <w:top w:val="nil"/>
              <w:left w:val="nil"/>
              <w:bottom w:val="single" w:sz="4" w:space="0" w:color="auto"/>
              <w:right w:val="single" w:sz="4" w:space="0" w:color="auto"/>
            </w:tcBorders>
            <w:shd w:val="clear" w:color="auto" w:fill="auto"/>
            <w:vAlign w:val="center"/>
            <w:hideMark/>
          </w:tcPr>
          <w:p w14:paraId="1688AB36" w14:textId="77777777" w:rsidR="00E266E9" w:rsidRPr="00E266E9" w:rsidRDefault="00E266E9" w:rsidP="00E266E9">
            <w:pPr>
              <w:overflowPunct/>
              <w:autoSpaceDE/>
              <w:autoSpaceDN/>
              <w:adjustRightInd/>
              <w:spacing w:after="0"/>
              <w:jc w:val="center"/>
              <w:textAlignment w:val="auto"/>
              <w:rPr>
                <w:color w:val="000000"/>
                <w:sz w:val="18"/>
                <w:szCs w:val="18"/>
              </w:rPr>
            </w:pPr>
            <w:r w:rsidRPr="00E266E9">
              <w:rPr>
                <w:color w:val="000000"/>
                <w:sz w:val="18"/>
                <w:szCs w:val="18"/>
              </w:rPr>
              <w:t>217</w:t>
            </w:r>
          </w:p>
        </w:tc>
        <w:tc>
          <w:tcPr>
            <w:tcW w:w="560" w:type="dxa"/>
            <w:tcBorders>
              <w:top w:val="nil"/>
              <w:left w:val="nil"/>
              <w:bottom w:val="single" w:sz="4" w:space="0" w:color="auto"/>
              <w:right w:val="single" w:sz="4" w:space="0" w:color="auto"/>
            </w:tcBorders>
            <w:shd w:val="clear" w:color="auto" w:fill="auto"/>
            <w:vAlign w:val="center"/>
            <w:hideMark/>
          </w:tcPr>
          <w:p w14:paraId="141CF7A8" w14:textId="77777777" w:rsidR="00E266E9" w:rsidRPr="00E266E9" w:rsidRDefault="00E266E9" w:rsidP="00E266E9">
            <w:pPr>
              <w:overflowPunct/>
              <w:autoSpaceDE/>
              <w:autoSpaceDN/>
              <w:adjustRightInd/>
              <w:spacing w:after="0"/>
              <w:jc w:val="center"/>
              <w:textAlignment w:val="auto"/>
              <w:rPr>
                <w:color w:val="000000"/>
                <w:sz w:val="18"/>
                <w:szCs w:val="18"/>
              </w:rPr>
            </w:pPr>
            <w:r w:rsidRPr="00E266E9">
              <w:rPr>
                <w:color w:val="000000"/>
                <w:sz w:val="18"/>
                <w:szCs w:val="18"/>
              </w:rPr>
              <w:t>245</w:t>
            </w:r>
          </w:p>
        </w:tc>
        <w:tc>
          <w:tcPr>
            <w:tcW w:w="560" w:type="dxa"/>
            <w:tcBorders>
              <w:top w:val="nil"/>
              <w:left w:val="nil"/>
              <w:bottom w:val="single" w:sz="4" w:space="0" w:color="auto"/>
              <w:right w:val="single" w:sz="4" w:space="0" w:color="auto"/>
            </w:tcBorders>
            <w:shd w:val="clear" w:color="auto" w:fill="auto"/>
            <w:vAlign w:val="center"/>
            <w:hideMark/>
          </w:tcPr>
          <w:p w14:paraId="3655B4FC" w14:textId="77777777" w:rsidR="00E266E9" w:rsidRPr="00E266E9" w:rsidRDefault="00E266E9" w:rsidP="00E266E9">
            <w:pPr>
              <w:overflowPunct/>
              <w:autoSpaceDE/>
              <w:autoSpaceDN/>
              <w:adjustRightInd/>
              <w:spacing w:after="0"/>
              <w:jc w:val="center"/>
              <w:textAlignment w:val="auto"/>
              <w:rPr>
                <w:color w:val="000000"/>
                <w:sz w:val="18"/>
                <w:szCs w:val="18"/>
              </w:rPr>
            </w:pPr>
            <w:r w:rsidRPr="00E22013">
              <w:rPr>
                <w:color w:val="000000"/>
                <w:sz w:val="18"/>
                <w:szCs w:val="18"/>
                <w:highlight w:val="green"/>
              </w:rPr>
              <w:t>273</w:t>
            </w:r>
          </w:p>
        </w:tc>
      </w:tr>
      <w:tr w:rsidR="00E266E9" w:rsidRPr="00E266E9" w14:paraId="09E742D3" w14:textId="77777777" w:rsidTr="000613D8">
        <w:trPr>
          <w:trHeight w:val="240"/>
          <w:jc w:val="center"/>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385D42C5" w14:textId="77777777" w:rsidR="00E266E9" w:rsidRPr="00E266E9" w:rsidRDefault="00E266E9" w:rsidP="00E266E9">
            <w:pPr>
              <w:overflowPunct/>
              <w:autoSpaceDE/>
              <w:autoSpaceDN/>
              <w:adjustRightInd/>
              <w:spacing w:after="0"/>
              <w:jc w:val="center"/>
              <w:textAlignment w:val="auto"/>
              <w:rPr>
                <w:color w:val="000000"/>
                <w:sz w:val="18"/>
                <w:szCs w:val="18"/>
              </w:rPr>
            </w:pPr>
            <w:r w:rsidRPr="00E266E9">
              <w:rPr>
                <w:color w:val="000000"/>
                <w:sz w:val="18"/>
                <w:szCs w:val="18"/>
              </w:rPr>
              <w:t>60</w:t>
            </w:r>
          </w:p>
        </w:tc>
        <w:tc>
          <w:tcPr>
            <w:tcW w:w="580" w:type="dxa"/>
            <w:tcBorders>
              <w:top w:val="nil"/>
              <w:left w:val="nil"/>
              <w:bottom w:val="single" w:sz="4" w:space="0" w:color="auto"/>
              <w:right w:val="single" w:sz="4" w:space="0" w:color="auto"/>
            </w:tcBorders>
            <w:shd w:val="clear" w:color="auto" w:fill="auto"/>
            <w:noWrap/>
            <w:vAlign w:val="center"/>
            <w:hideMark/>
          </w:tcPr>
          <w:p w14:paraId="6CD75A14" w14:textId="77777777" w:rsidR="00E266E9" w:rsidRPr="00E266E9" w:rsidRDefault="00E266E9" w:rsidP="00E266E9">
            <w:pPr>
              <w:overflowPunct/>
              <w:autoSpaceDE/>
              <w:autoSpaceDN/>
              <w:adjustRightInd/>
              <w:spacing w:after="0"/>
              <w:jc w:val="center"/>
              <w:textAlignment w:val="auto"/>
              <w:rPr>
                <w:rFonts w:ascii="Calibri" w:hAnsi="Calibri"/>
                <w:color w:val="000000"/>
                <w:sz w:val="18"/>
                <w:szCs w:val="18"/>
              </w:rPr>
            </w:pPr>
            <w:r w:rsidRPr="00E266E9">
              <w:rPr>
                <w:rFonts w:ascii="Calibri" w:hAnsi="Calibri"/>
                <w:color w:val="000000"/>
                <w:sz w:val="18"/>
                <w:szCs w:val="18"/>
              </w:rPr>
              <w:t>N.A</w:t>
            </w:r>
          </w:p>
        </w:tc>
        <w:tc>
          <w:tcPr>
            <w:tcW w:w="580" w:type="dxa"/>
            <w:tcBorders>
              <w:top w:val="nil"/>
              <w:left w:val="nil"/>
              <w:bottom w:val="single" w:sz="4" w:space="0" w:color="auto"/>
              <w:right w:val="single" w:sz="4" w:space="0" w:color="auto"/>
            </w:tcBorders>
            <w:shd w:val="clear" w:color="auto" w:fill="auto"/>
            <w:vAlign w:val="center"/>
            <w:hideMark/>
          </w:tcPr>
          <w:p w14:paraId="1CA79B4B" w14:textId="77777777" w:rsidR="00E266E9" w:rsidRPr="00E266E9" w:rsidRDefault="00E266E9" w:rsidP="00E266E9">
            <w:pPr>
              <w:overflowPunct/>
              <w:autoSpaceDE/>
              <w:autoSpaceDN/>
              <w:adjustRightInd/>
              <w:spacing w:after="0"/>
              <w:jc w:val="center"/>
              <w:textAlignment w:val="auto"/>
              <w:rPr>
                <w:color w:val="000000"/>
                <w:sz w:val="18"/>
                <w:szCs w:val="18"/>
              </w:rPr>
            </w:pPr>
            <w:r w:rsidRPr="00E266E9">
              <w:rPr>
                <w:color w:val="000000"/>
                <w:sz w:val="18"/>
                <w:szCs w:val="18"/>
              </w:rPr>
              <w:t>11</w:t>
            </w:r>
          </w:p>
        </w:tc>
        <w:tc>
          <w:tcPr>
            <w:tcW w:w="580" w:type="dxa"/>
            <w:tcBorders>
              <w:top w:val="nil"/>
              <w:left w:val="nil"/>
              <w:bottom w:val="single" w:sz="4" w:space="0" w:color="auto"/>
              <w:right w:val="single" w:sz="4" w:space="0" w:color="auto"/>
            </w:tcBorders>
            <w:shd w:val="clear" w:color="auto" w:fill="auto"/>
            <w:vAlign w:val="center"/>
            <w:hideMark/>
          </w:tcPr>
          <w:p w14:paraId="64FD409E" w14:textId="77777777" w:rsidR="00E266E9" w:rsidRPr="00E266E9" w:rsidRDefault="00E266E9" w:rsidP="00E266E9">
            <w:pPr>
              <w:overflowPunct/>
              <w:autoSpaceDE/>
              <w:autoSpaceDN/>
              <w:adjustRightInd/>
              <w:spacing w:after="0"/>
              <w:jc w:val="center"/>
              <w:textAlignment w:val="auto"/>
              <w:rPr>
                <w:color w:val="000000"/>
                <w:sz w:val="18"/>
                <w:szCs w:val="18"/>
              </w:rPr>
            </w:pPr>
            <w:r w:rsidRPr="00E266E9">
              <w:rPr>
                <w:color w:val="000000"/>
                <w:sz w:val="18"/>
                <w:szCs w:val="18"/>
              </w:rPr>
              <w:t>18</w:t>
            </w:r>
          </w:p>
        </w:tc>
        <w:tc>
          <w:tcPr>
            <w:tcW w:w="580" w:type="dxa"/>
            <w:tcBorders>
              <w:top w:val="nil"/>
              <w:left w:val="nil"/>
              <w:bottom w:val="single" w:sz="4" w:space="0" w:color="auto"/>
              <w:right w:val="single" w:sz="4" w:space="0" w:color="auto"/>
            </w:tcBorders>
            <w:shd w:val="clear" w:color="auto" w:fill="auto"/>
            <w:vAlign w:val="center"/>
            <w:hideMark/>
          </w:tcPr>
          <w:p w14:paraId="62A4EC53" w14:textId="77777777" w:rsidR="00E266E9" w:rsidRPr="00E266E9" w:rsidRDefault="00E266E9" w:rsidP="00E266E9">
            <w:pPr>
              <w:overflowPunct/>
              <w:autoSpaceDE/>
              <w:autoSpaceDN/>
              <w:adjustRightInd/>
              <w:spacing w:after="0"/>
              <w:jc w:val="center"/>
              <w:textAlignment w:val="auto"/>
              <w:rPr>
                <w:color w:val="000000"/>
                <w:sz w:val="18"/>
                <w:szCs w:val="18"/>
              </w:rPr>
            </w:pPr>
            <w:r w:rsidRPr="000613D8">
              <w:rPr>
                <w:color w:val="000000"/>
                <w:sz w:val="18"/>
                <w:szCs w:val="18"/>
                <w:highlight w:val="darkYellow"/>
              </w:rPr>
              <w:t>24</w:t>
            </w:r>
          </w:p>
        </w:tc>
        <w:tc>
          <w:tcPr>
            <w:tcW w:w="580" w:type="dxa"/>
            <w:tcBorders>
              <w:top w:val="nil"/>
              <w:left w:val="nil"/>
              <w:bottom w:val="single" w:sz="4" w:space="0" w:color="auto"/>
              <w:right w:val="single" w:sz="4" w:space="0" w:color="auto"/>
            </w:tcBorders>
            <w:shd w:val="clear" w:color="auto" w:fill="auto"/>
            <w:vAlign w:val="center"/>
            <w:hideMark/>
          </w:tcPr>
          <w:p w14:paraId="6C0B20D0" w14:textId="77777777" w:rsidR="00E266E9" w:rsidRPr="00E266E9" w:rsidRDefault="00E266E9" w:rsidP="00E266E9">
            <w:pPr>
              <w:overflowPunct/>
              <w:autoSpaceDE/>
              <w:autoSpaceDN/>
              <w:adjustRightInd/>
              <w:spacing w:after="0"/>
              <w:jc w:val="center"/>
              <w:textAlignment w:val="auto"/>
              <w:rPr>
                <w:color w:val="000000"/>
                <w:sz w:val="18"/>
                <w:szCs w:val="18"/>
              </w:rPr>
            </w:pPr>
            <w:r w:rsidRPr="00E266E9">
              <w:rPr>
                <w:color w:val="000000"/>
                <w:sz w:val="18"/>
                <w:szCs w:val="18"/>
              </w:rPr>
              <w:t>31</w:t>
            </w:r>
          </w:p>
        </w:tc>
        <w:tc>
          <w:tcPr>
            <w:tcW w:w="580" w:type="dxa"/>
            <w:tcBorders>
              <w:top w:val="nil"/>
              <w:left w:val="nil"/>
              <w:bottom w:val="single" w:sz="4" w:space="0" w:color="auto"/>
              <w:right w:val="single" w:sz="4" w:space="0" w:color="auto"/>
            </w:tcBorders>
            <w:shd w:val="clear" w:color="auto" w:fill="auto"/>
            <w:vAlign w:val="center"/>
            <w:hideMark/>
          </w:tcPr>
          <w:p w14:paraId="01F6C4A7" w14:textId="77777777" w:rsidR="00E266E9" w:rsidRPr="00E266E9" w:rsidRDefault="00E266E9" w:rsidP="00E266E9">
            <w:pPr>
              <w:overflowPunct/>
              <w:autoSpaceDE/>
              <w:autoSpaceDN/>
              <w:adjustRightInd/>
              <w:spacing w:after="0"/>
              <w:jc w:val="center"/>
              <w:textAlignment w:val="auto"/>
              <w:rPr>
                <w:color w:val="000000"/>
                <w:sz w:val="18"/>
                <w:szCs w:val="18"/>
              </w:rPr>
            </w:pPr>
            <w:r w:rsidRPr="00E266E9">
              <w:rPr>
                <w:color w:val="000000"/>
                <w:sz w:val="18"/>
                <w:szCs w:val="18"/>
              </w:rPr>
              <w:t>38</w:t>
            </w:r>
          </w:p>
        </w:tc>
        <w:tc>
          <w:tcPr>
            <w:tcW w:w="580" w:type="dxa"/>
            <w:tcBorders>
              <w:top w:val="nil"/>
              <w:left w:val="nil"/>
              <w:bottom w:val="single" w:sz="4" w:space="0" w:color="auto"/>
              <w:right w:val="single" w:sz="4" w:space="0" w:color="auto"/>
            </w:tcBorders>
            <w:shd w:val="clear" w:color="auto" w:fill="auto"/>
            <w:vAlign w:val="center"/>
            <w:hideMark/>
          </w:tcPr>
          <w:p w14:paraId="72E2DC28" w14:textId="77777777" w:rsidR="00E266E9" w:rsidRPr="00E266E9" w:rsidRDefault="00E266E9" w:rsidP="00E266E9">
            <w:pPr>
              <w:overflowPunct/>
              <w:autoSpaceDE/>
              <w:autoSpaceDN/>
              <w:adjustRightInd/>
              <w:spacing w:after="0"/>
              <w:jc w:val="center"/>
              <w:textAlignment w:val="auto"/>
              <w:rPr>
                <w:color w:val="000000"/>
                <w:sz w:val="18"/>
                <w:szCs w:val="18"/>
              </w:rPr>
            </w:pPr>
            <w:r w:rsidRPr="000613D8">
              <w:rPr>
                <w:color w:val="000000"/>
                <w:sz w:val="18"/>
                <w:szCs w:val="18"/>
                <w:highlight w:val="yellow"/>
              </w:rPr>
              <w:t>51</w:t>
            </w:r>
          </w:p>
        </w:tc>
        <w:tc>
          <w:tcPr>
            <w:tcW w:w="580" w:type="dxa"/>
            <w:tcBorders>
              <w:top w:val="nil"/>
              <w:left w:val="nil"/>
              <w:bottom w:val="single" w:sz="4" w:space="0" w:color="auto"/>
              <w:right w:val="single" w:sz="4" w:space="0" w:color="auto"/>
            </w:tcBorders>
            <w:shd w:val="clear" w:color="auto" w:fill="auto"/>
            <w:vAlign w:val="center"/>
            <w:hideMark/>
          </w:tcPr>
          <w:p w14:paraId="0424F228" w14:textId="77777777" w:rsidR="00E266E9" w:rsidRPr="00E266E9" w:rsidRDefault="00E266E9" w:rsidP="00E266E9">
            <w:pPr>
              <w:overflowPunct/>
              <w:autoSpaceDE/>
              <w:autoSpaceDN/>
              <w:adjustRightInd/>
              <w:spacing w:after="0"/>
              <w:jc w:val="center"/>
              <w:textAlignment w:val="auto"/>
              <w:rPr>
                <w:color w:val="000000"/>
                <w:sz w:val="18"/>
                <w:szCs w:val="18"/>
              </w:rPr>
            </w:pPr>
            <w:r w:rsidRPr="00E266E9">
              <w:rPr>
                <w:color w:val="000000"/>
                <w:sz w:val="18"/>
                <w:szCs w:val="18"/>
              </w:rPr>
              <w:t>65</w:t>
            </w:r>
          </w:p>
        </w:tc>
        <w:tc>
          <w:tcPr>
            <w:tcW w:w="560" w:type="dxa"/>
            <w:tcBorders>
              <w:top w:val="nil"/>
              <w:left w:val="nil"/>
              <w:bottom w:val="single" w:sz="4" w:space="0" w:color="auto"/>
              <w:right w:val="single" w:sz="4" w:space="0" w:color="auto"/>
            </w:tcBorders>
            <w:shd w:val="clear" w:color="auto" w:fill="auto"/>
            <w:vAlign w:val="center"/>
            <w:hideMark/>
          </w:tcPr>
          <w:p w14:paraId="186AAA3F" w14:textId="77777777" w:rsidR="00E266E9" w:rsidRPr="00E266E9" w:rsidRDefault="00E266E9" w:rsidP="00E266E9">
            <w:pPr>
              <w:overflowPunct/>
              <w:autoSpaceDE/>
              <w:autoSpaceDN/>
              <w:adjustRightInd/>
              <w:spacing w:after="0"/>
              <w:jc w:val="center"/>
              <w:textAlignment w:val="auto"/>
              <w:rPr>
                <w:color w:val="000000"/>
                <w:sz w:val="18"/>
                <w:szCs w:val="18"/>
              </w:rPr>
            </w:pPr>
            <w:r w:rsidRPr="000613D8">
              <w:rPr>
                <w:color w:val="000000"/>
                <w:sz w:val="18"/>
                <w:szCs w:val="18"/>
                <w:highlight w:val="darkCyan"/>
              </w:rPr>
              <w:t>79</w:t>
            </w:r>
          </w:p>
        </w:tc>
        <w:tc>
          <w:tcPr>
            <w:tcW w:w="540" w:type="dxa"/>
            <w:tcBorders>
              <w:top w:val="nil"/>
              <w:left w:val="nil"/>
              <w:bottom w:val="single" w:sz="4" w:space="0" w:color="auto"/>
              <w:right w:val="single" w:sz="4" w:space="0" w:color="auto"/>
            </w:tcBorders>
            <w:shd w:val="clear" w:color="auto" w:fill="BFBFBF" w:themeFill="background1" w:themeFillShade="BF"/>
            <w:vAlign w:val="center"/>
            <w:hideMark/>
          </w:tcPr>
          <w:p w14:paraId="4F11F1D3" w14:textId="77777777" w:rsidR="00E266E9" w:rsidRPr="00E266E9" w:rsidRDefault="00E266E9" w:rsidP="00E266E9">
            <w:pPr>
              <w:overflowPunct/>
              <w:autoSpaceDE/>
              <w:autoSpaceDN/>
              <w:adjustRightInd/>
              <w:spacing w:after="0"/>
              <w:jc w:val="center"/>
              <w:textAlignment w:val="auto"/>
              <w:rPr>
                <w:color w:val="000000"/>
                <w:sz w:val="18"/>
                <w:szCs w:val="18"/>
              </w:rPr>
            </w:pPr>
            <w:r w:rsidRPr="00E266E9">
              <w:rPr>
                <w:color w:val="000000"/>
                <w:sz w:val="18"/>
                <w:szCs w:val="18"/>
              </w:rPr>
              <w:t>93</w:t>
            </w:r>
          </w:p>
        </w:tc>
        <w:tc>
          <w:tcPr>
            <w:tcW w:w="560" w:type="dxa"/>
            <w:tcBorders>
              <w:top w:val="nil"/>
              <w:left w:val="nil"/>
              <w:bottom w:val="single" w:sz="4" w:space="0" w:color="auto"/>
              <w:right w:val="single" w:sz="4" w:space="0" w:color="auto"/>
            </w:tcBorders>
            <w:shd w:val="clear" w:color="auto" w:fill="auto"/>
            <w:vAlign w:val="center"/>
            <w:hideMark/>
          </w:tcPr>
          <w:p w14:paraId="7E771BAB" w14:textId="77777777" w:rsidR="00E266E9" w:rsidRPr="00E266E9" w:rsidRDefault="00E266E9" w:rsidP="00E266E9">
            <w:pPr>
              <w:overflowPunct/>
              <w:autoSpaceDE/>
              <w:autoSpaceDN/>
              <w:adjustRightInd/>
              <w:spacing w:after="0"/>
              <w:jc w:val="center"/>
              <w:textAlignment w:val="auto"/>
              <w:rPr>
                <w:color w:val="000000"/>
                <w:sz w:val="18"/>
                <w:szCs w:val="18"/>
              </w:rPr>
            </w:pPr>
            <w:r w:rsidRPr="000613D8">
              <w:rPr>
                <w:color w:val="000000"/>
                <w:sz w:val="18"/>
                <w:szCs w:val="18"/>
                <w:highlight w:val="cyan"/>
              </w:rPr>
              <w:t>107</w:t>
            </w:r>
          </w:p>
        </w:tc>
        <w:tc>
          <w:tcPr>
            <w:tcW w:w="560" w:type="dxa"/>
            <w:tcBorders>
              <w:top w:val="nil"/>
              <w:left w:val="nil"/>
              <w:bottom w:val="single" w:sz="4" w:space="0" w:color="auto"/>
              <w:right w:val="single" w:sz="4" w:space="0" w:color="auto"/>
            </w:tcBorders>
            <w:shd w:val="clear" w:color="auto" w:fill="auto"/>
            <w:vAlign w:val="center"/>
            <w:hideMark/>
          </w:tcPr>
          <w:p w14:paraId="3A6D5E2A" w14:textId="77777777" w:rsidR="00E266E9" w:rsidRPr="00E266E9" w:rsidRDefault="00E266E9" w:rsidP="00E266E9">
            <w:pPr>
              <w:overflowPunct/>
              <w:autoSpaceDE/>
              <w:autoSpaceDN/>
              <w:adjustRightInd/>
              <w:spacing w:after="0"/>
              <w:jc w:val="center"/>
              <w:textAlignment w:val="auto"/>
              <w:rPr>
                <w:color w:val="000000"/>
                <w:sz w:val="18"/>
                <w:szCs w:val="18"/>
              </w:rPr>
            </w:pPr>
            <w:r w:rsidRPr="00E266E9">
              <w:rPr>
                <w:color w:val="000000"/>
                <w:sz w:val="18"/>
                <w:szCs w:val="18"/>
              </w:rPr>
              <w:t>121</w:t>
            </w:r>
          </w:p>
        </w:tc>
        <w:tc>
          <w:tcPr>
            <w:tcW w:w="560" w:type="dxa"/>
            <w:tcBorders>
              <w:top w:val="nil"/>
              <w:left w:val="nil"/>
              <w:bottom w:val="single" w:sz="4" w:space="0" w:color="auto"/>
              <w:right w:val="single" w:sz="4" w:space="0" w:color="auto"/>
            </w:tcBorders>
            <w:shd w:val="clear" w:color="auto" w:fill="auto"/>
            <w:vAlign w:val="center"/>
            <w:hideMark/>
          </w:tcPr>
          <w:p w14:paraId="10C25298" w14:textId="77777777" w:rsidR="00E266E9" w:rsidRPr="00E266E9" w:rsidRDefault="00E266E9" w:rsidP="00E266E9">
            <w:pPr>
              <w:overflowPunct/>
              <w:autoSpaceDE/>
              <w:autoSpaceDN/>
              <w:adjustRightInd/>
              <w:spacing w:after="0"/>
              <w:jc w:val="center"/>
              <w:textAlignment w:val="auto"/>
              <w:rPr>
                <w:color w:val="000000"/>
                <w:sz w:val="18"/>
                <w:szCs w:val="18"/>
              </w:rPr>
            </w:pPr>
            <w:r w:rsidRPr="000613D8">
              <w:rPr>
                <w:color w:val="000000"/>
                <w:sz w:val="18"/>
                <w:szCs w:val="18"/>
                <w:highlight w:val="magenta"/>
              </w:rPr>
              <w:t>135</w:t>
            </w:r>
          </w:p>
        </w:tc>
      </w:tr>
    </w:tbl>
    <w:p w14:paraId="3A510212" w14:textId="77777777" w:rsidR="00E266E9" w:rsidRDefault="00E266E9" w:rsidP="00E266E9">
      <w:pPr>
        <w:spacing w:after="0"/>
        <w:jc w:val="both"/>
      </w:pPr>
    </w:p>
    <w:p w14:paraId="408CA877" w14:textId="63890BFB" w:rsidR="00446695" w:rsidRDefault="00E266E9" w:rsidP="00E266E9">
      <w:pPr>
        <w:spacing w:after="0"/>
        <w:jc w:val="both"/>
      </w:pPr>
      <w:r>
        <w:t xml:space="preserve">We can observe that sometimes the SU for 2x channel BW at 2x SCS is the </w:t>
      </w:r>
      <w:r w:rsidR="00446695">
        <w:t>same or not</w:t>
      </w:r>
      <w:r w:rsidR="009E13D0">
        <w:t>, for</w:t>
      </w:r>
      <w:r w:rsidR="00446695">
        <w:t xml:space="preserve"> example</w:t>
      </w:r>
      <w:r w:rsidR="009E13D0">
        <w:t>,</w:t>
      </w:r>
      <w:r w:rsidR="00446695">
        <w:t xml:space="preserve"> SU for:</w:t>
      </w:r>
    </w:p>
    <w:p w14:paraId="6B615797" w14:textId="1A1F2D8B" w:rsidR="00446695" w:rsidRDefault="00446695" w:rsidP="00446695">
      <w:pPr>
        <w:pStyle w:val="ListParagraph"/>
        <w:numPr>
          <w:ilvl w:val="0"/>
          <w:numId w:val="45"/>
        </w:numPr>
        <w:spacing w:after="0"/>
        <w:jc w:val="both"/>
      </w:pPr>
      <w:r>
        <w:t>10</w:t>
      </w:r>
      <w:r w:rsidR="009E13D0">
        <w:t xml:space="preserve"> </w:t>
      </w:r>
      <w:r>
        <w:t>MHz 15 kHz SCS (52) ≠ 20</w:t>
      </w:r>
      <w:r w:rsidR="009E13D0">
        <w:t xml:space="preserve"> </w:t>
      </w:r>
      <w:r>
        <w:t>MHz 30 kHz SCS (51) = 40</w:t>
      </w:r>
      <w:r w:rsidR="009E13D0">
        <w:t xml:space="preserve"> </w:t>
      </w:r>
      <w:r>
        <w:t>MHz 60 kHz SCS (51)</w:t>
      </w:r>
      <w:r w:rsidR="000613D8">
        <w:t xml:space="preserve"> </w:t>
      </w:r>
      <w:r w:rsidR="000613D8" w:rsidRPr="000613D8">
        <w:rPr>
          <w:highlight w:val="yellow"/>
        </w:rPr>
        <w:t>yellow highlight</w:t>
      </w:r>
    </w:p>
    <w:p w14:paraId="106A3BE9" w14:textId="3922F4AE" w:rsidR="00446695" w:rsidRDefault="00446695" w:rsidP="00446695">
      <w:pPr>
        <w:pStyle w:val="ListParagraph"/>
        <w:numPr>
          <w:ilvl w:val="0"/>
          <w:numId w:val="45"/>
        </w:numPr>
        <w:spacing w:after="0"/>
        <w:jc w:val="both"/>
      </w:pPr>
      <w:r>
        <w:t>20</w:t>
      </w:r>
      <w:r w:rsidR="009E13D0">
        <w:t xml:space="preserve"> </w:t>
      </w:r>
      <w:r>
        <w:t>MHz 15 kHz SCS (106) = 40</w:t>
      </w:r>
      <w:r w:rsidR="009E13D0">
        <w:t xml:space="preserve"> </w:t>
      </w:r>
      <w:r>
        <w:t>MHz 30 kHz SCS (106) ≠ 80</w:t>
      </w:r>
      <w:r w:rsidR="009E13D0">
        <w:t xml:space="preserve"> </w:t>
      </w:r>
      <w:r>
        <w:t>MHz 60 kHz SCS (107)</w:t>
      </w:r>
      <w:r w:rsidR="000613D8">
        <w:t xml:space="preserve"> </w:t>
      </w:r>
      <w:r w:rsidR="000613D8" w:rsidRPr="000613D8">
        <w:rPr>
          <w:highlight w:val="cyan"/>
        </w:rPr>
        <w:t>cyan highlight</w:t>
      </w:r>
    </w:p>
    <w:p w14:paraId="749F751E" w14:textId="0D11801F" w:rsidR="00E266E9" w:rsidRDefault="00446695" w:rsidP="00446695">
      <w:pPr>
        <w:pStyle w:val="ListParagraph"/>
        <w:numPr>
          <w:ilvl w:val="0"/>
          <w:numId w:val="45"/>
        </w:numPr>
        <w:spacing w:after="0"/>
        <w:jc w:val="both"/>
      </w:pPr>
      <w:r>
        <w:t>25</w:t>
      </w:r>
      <w:r w:rsidR="009E13D0">
        <w:t xml:space="preserve"> </w:t>
      </w:r>
      <w:r w:rsidR="00E266E9">
        <w:t>MHz 15</w:t>
      </w:r>
      <w:r>
        <w:t xml:space="preserve"> </w:t>
      </w:r>
      <w:r w:rsidR="00E266E9">
        <w:t>kHz SCS (</w:t>
      </w:r>
      <w:r>
        <w:t>133</w:t>
      </w:r>
      <w:r w:rsidR="00E266E9">
        <w:t xml:space="preserve">) = </w:t>
      </w:r>
      <w:r>
        <w:t>5</w:t>
      </w:r>
      <w:r w:rsidR="00E266E9">
        <w:t>0</w:t>
      </w:r>
      <w:r w:rsidR="009E13D0">
        <w:t xml:space="preserve"> </w:t>
      </w:r>
      <w:r w:rsidR="00E266E9">
        <w:t>MHz 30</w:t>
      </w:r>
      <w:r>
        <w:t xml:space="preserve"> </w:t>
      </w:r>
      <w:r w:rsidR="00E266E9">
        <w:t>kHz SCS (1</w:t>
      </w:r>
      <w:r>
        <w:t>33</w:t>
      </w:r>
      <w:r w:rsidR="00E266E9">
        <w:t xml:space="preserve">) ≠ </w:t>
      </w:r>
      <w:r>
        <w:t>10</w:t>
      </w:r>
      <w:r w:rsidR="00E266E9">
        <w:t>0</w:t>
      </w:r>
      <w:r w:rsidR="009E13D0">
        <w:t xml:space="preserve"> </w:t>
      </w:r>
      <w:r w:rsidR="00E266E9">
        <w:t>MHz 60</w:t>
      </w:r>
      <w:r>
        <w:t xml:space="preserve"> </w:t>
      </w:r>
      <w:r w:rsidR="00E266E9">
        <w:t>kHz SCS (</w:t>
      </w:r>
      <w:r>
        <w:t>135</w:t>
      </w:r>
      <w:r w:rsidR="00E266E9">
        <w:t>)</w:t>
      </w:r>
      <w:r w:rsidR="000613D8">
        <w:t xml:space="preserve"> </w:t>
      </w:r>
      <w:r w:rsidR="000613D8" w:rsidRPr="000613D8">
        <w:rPr>
          <w:highlight w:val="magenta"/>
        </w:rPr>
        <w:t>pink highlight</w:t>
      </w:r>
    </w:p>
    <w:p w14:paraId="393E34B1" w14:textId="40036C56" w:rsidR="000613D8" w:rsidRDefault="000613D8" w:rsidP="00446695">
      <w:pPr>
        <w:pStyle w:val="ListParagraph"/>
        <w:numPr>
          <w:ilvl w:val="0"/>
          <w:numId w:val="45"/>
        </w:numPr>
        <w:spacing w:after="0"/>
        <w:jc w:val="both"/>
      </w:pPr>
      <w:r>
        <w:t>Other cases are highlighted with other colors</w:t>
      </w:r>
    </w:p>
    <w:p w14:paraId="3A986AE9" w14:textId="5E152B01" w:rsidR="00446695" w:rsidRDefault="00446695" w:rsidP="00CB084D">
      <w:pPr>
        <w:spacing w:after="0"/>
      </w:pPr>
      <w:r>
        <w:t xml:space="preserve">When comparing SU for 2x SCS vs lower SCS/2: </w:t>
      </w:r>
      <w:r w:rsidR="00CB084D">
        <w:t>(</w:t>
      </w:r>
      <w:r>
        <w:t>higher SCS</w:t>
      </w:r>
      <w:r w:rsidR="00CB084D">
        <w:t xml:space="preserve"> SU)</w:t>
      </w:r>
      <w:r>
        <w:t xml:space="preserve"> = </w:t>
      </w:r>
      <w:r w:rsidR="00CB084D">
        <w:t>(</w:t>
      </w:r>
      <w:r>
        <w:t>lower SCS</w:t>
      </w:r>
      <w:r w:rsidR="00CB084D">
        <w:t xml:space="preserve"> SU</w:t>
      </w:r>
      <w:r>
        <w:t>/2</w:t>
      </w:r>
      <w:r w:rsidR="00CB084D">
        <w:t>)</w:t>
      </w:r>
      <w:r>
        <w:t xml:space="preserve"> </w:t>
      </w:r>
      <w:r w:rsidR="00CB084D">
        <w:t>– (</w:t>
      </w:r>
      <w:r>
        <w:t>3 or 4</w:t>
      </w:r>
      <w:r w:rsidR="00CB084D">
        <w:t>)</w:t>
      </w:r>
    </w:p>
    <w:p w14:paraId="45916242" w14:textId="77777777" w:rsidR="00CB084D" w:rsidRDefault="00CB084D" w:rsidP="00CB084D">
      <w:pPr>
        <w:spacing w:after="0"/>
      </w:pPr>
    </w:p>
    <w:p w14:paraId="4EF6362E" w14:textId="112F6B1B" w:rsidR="00446695" w:rsidRDefault="00446695" w:rsidP="00CB084D">
      <w:pPr>
        <w:spacing w:after="0"/>
      </w:pPr>
      <w:r>
        <w:t xml:space="preserve">This </w:t>
      </w:r>
      <w:r w:rsidR="000613D8">
        <w:t xml:space="preserve">also </w:t>
      </w:r>
      <w:r>
        <w:t>results in guard bands that do not follow any regular progression</w:t>
      </w:r>
      <w:r w:rsidR="00CB084D">
        <w:t>. In general</w:t>
      </w:r>
      <w:r w:rsidR="009E13D0">
        <w:t>,</w:t>
      </w:r>
      <w:r w:rsidR="00CB084D">
        <w:t xml:space="preserve"> the minimum guard band increases from 5 to 50 MHz and then decreases slowly toward 100 MHz channel bandwidth. If some fluctuation can be explained for 30 kHz and 60 kHz by the RB alignment rule (</w:t>
      </w:r>
      <w:r w:rsidR="00CB084D" w:rsidRPr="007266F2">
        <w:rPr>
          <w:highlight w:val="yellow"/>
        </w:rPr>
        <w:t>yellow highlights</w:t>
      </w:r>
      <w:r w:rsidR="00CB084D">
        <w:t>) it is not the case for 15 kHz SCS at 30</w:t>
      </w:r>
      <w:r w:rsidR="009E13D0">
        <w:t xml:space="preserve"> </w:t>
      </w:r>
      <w:r w:rsidR="00CB084D">
        <w:t>MHz channel bandwidth (</w:t>
      </w:r>
      <w:r w:rsidR="00CB084D" w:rsidRPr="007266F2">
        <w:rPr>
          <w:highlight w:val="red"/>
        </w:rPr>
        <w:t>red highlight</w:t>
      </w:r>
      <w:r w:rsidR="00CB084D">
        <w:t>).</w:t>
      </w:r>
      <w:r w:rsidR="007266F2">
        <w:t xml:space="preserve"> It is also clear that guard-band for 30 kHz</w:t>
      </w:r>
      <w:r w:rsidR="009E13D0">
        <w:t xml:space="preserve"> </w:t>
      </w:r>
      <w:r w:rsidR="007266F2">
        <w:t>SCS and 60 MHz channel bandwidth is an outlier (</w:t>
      </w:r>
      <w:r w:rsidR="007266F2" w:rsidRPr="007266F2">
        <w:rPr>
          <w:highlight w:val="cyan"/>
        </w:rPr>
        <w:t>cyan highlight</w:t>
      </w:r>
      <w:r w:rsidR="007266F2">
        <w:t>).</w:t>
      </w:r>
    </w:p>
    <w:p w14:paraId="4A9D1056" w14:textId="18DEC149" w:rsidR="00E22013" w:rsidRDefault="00E22013" w:rsidP="003D5A21">
      <w:pPr>
        <w:pStyle w:val="Caption"/>
        <w:keepNext/>
        <w:spacing w:after="0"/>
        <w:jc w:val="center"/>
      </w:pPr>
      <w:r>
        <w:t xml:space="preserve">Table </w:t>
      </w:r>
      <w:r w:rsidR="004863B3">
        <w:fldChar w:fldCharType="begin"/>
      </w:r>
      <w:r w:rsidR="004863B3">
        <w:instrText xml:space="preserve"> SEQ Table \* ARABIC </w:instrText>
      </w:r>
      <w:r w:rsidR="004863B3">
        <w:fldChar w:fldCharType="separate"/>
      </w:r>
      <w:r w:rsidR="00AB5442">
        <w:rPr>
          <w:noProof/>
        </w:rPr>
        <w:t>2</w:t>
      </w:r>
      <w:r w:rsidR="004863B3">
        <w:rPr>
          <w:noProof/>
        </w:rPr>
        <w:fldChar w:fldCharType="end"/>
      </w:r>
      <w:r>
        <w:t>: Minimum guard-band versus channel bandwidths and SCS</w:t>
      </w:r>
    </w:p>
    <w:tbl>
      <w:tblPr>
        <w:tblW w:w="9274" w:type="dxa"/>
        <w:tblInd w:w="93" w:type="dxa"/>
        <w:tblLook w:val="04A0" w:firstRow="1" w:lastRow="0" w:firstColumn="1" w:lastColumn="0" w:noHBand="0" w:noVBand="1"/>
      </w:tblPr>
      <w:tblGrid>
        <w:gridCol w:w="735"/>
        <w:gridCol w:w="742"/>
        <w:gridCol w:w="684"/>
        <w:gridCol w:w="685"/>
        <w:gridCol w:w="685"/>
        <w:gridCol w:w="685"/>
        <w:gridCol w:w="685"/>
        <w:gridCol w:w="685"/>
        <w:gridCol w:w="685"/>
        <w:gridCol w:w="600"/>
        <w:gridCol w:w="600"/>
        <w:gridCol w:w="600"/>
        <w:gridCol w:w="600"/>
        <w:gridCol w:w="603"/>
      </w:tblGrid>
      <w:tr w:rsidR="00446695" w:rsidRPr="00446695" w14:paraId="15413FE6" w14:textId="77777777" w:rsidTr="003D5A21">
        <w:trPr>
          <w:trHeight w:val="240"/>
        </w:trPr>
        <w:tc>
          <w:tcPr>
            <w:tcW w:w="735" w:type="dxa"/>
            <w:tcBorders>
              <w:top w:val="nil"/>
              <w:bottom w:val="single" w:sz="4" w:space="0" w:color="auto"/>
              <w:right w:val="single" w:sz="4" w:space="0" w:color="auto"/>
            </w:tcBorders>
            <w:shd w:val="clear" w:color="auto" w:fill="auto"/>
            <w:vAlign w:val="center"/>
          </w:tcPr>
          <w:p w14:paraId="0C693A23" w14:textId="77777777" w:rsidR="00446695" w:rsidRPr="00446695" w:rsidRDefault="00446695" w:rsidP="00446695">
            <w:pPr>
              <w:overflowPunct/>
              <w:autoSpaceDE/>
              <w:autoSpaceDN/>
              <w:adjustRightInd/>
              <w:spacing w:after="0"/>
              <w:jc w:val="center"/>
              <w:textAlignment w:val="auto"/>
              <w:rPr>
                <w:color w:val="000000"/>
                <w:sz w:val="18"/>
                <w:szCs w:val="18"/>
              </w:rPr>
            </w:pPr>
          </w:p>
        </w:tc>
        <w:tc>
          <w:tcPr>
            <w:tcW w:w="8539" w:type="dxa"/>
            <w:gridSpan w:val="13"/>
            <w:tcBorders>
              <w:top w:val="single" w:sz="4" w:space="0" w:color="auto"/>
              <w:left w:val="nil"/>
              <w:bottom w:val="single" w:sz="4" w:space="0" w:color="auto"/>
              <w:right w:val="single" w:sz="4" w:space="0" w:color="auto"/>
            </w:tcBorders>
            <w:shd w:val="clear" w:color="auto" w:fill="auto"/>
            <w:noWrap/>
            <w:vAlign w:val="center"/>
          </w:tcPr>
          <w:p w14:paraId="4794099A" w14:textId="1BC0B019" w:rsidR="00446695" w:rsidRPr="00446695" w:rsidRDefault="00446695" w:rsidP="00446695">
            <w:pPr>
              <w:overflowPunct/>
              <w:autoSpaceDE/>
              <w:autoSpaceDN/>
              <w:adjustRightInd/>
              <w:spacing w:after="0"/>
              <w:jc w:val="center"/>
              <w:textAlignment w:val="auto"/>
              <w:rPr>
                <w:rFonts w:ascii="Calibri" w:hAnsi="Calibri"/>
                <w:color w:val="000000"/>
                <w:sz w:val="18"/>
                <w:szCs w:val="18"/>
              </w:rPr>
            </w:pPr>
            <w:r w:rsidRPr="00E266E9">
              <w:rPr>
                <w:rFonts w:ascii="Calibri" w:hAnsi="Calibri"/>
                <w:color w:val="000000"/>
                <w:sz w:val="18"/>
                <w:szCs w:val="18"/>
              </w:rPr>
              <w:t>FR1Channel BW [MHz]</w:t>
            </w:r>
          </w:p>
        </w:tc>
      </w:tr>
      <w:tr w:rsidR="00446695" w:rsidRPr="00446695" w14:paraId="3969C7C5" w14:textId="77777777" w:rsidTr="00446695">
        <w:trPr>
          <w:trHeight w:val="240"/>
        </w:trPr>
        <w:tc>
          <w:tcPr>
            <w:tcW w:w="735" w:type="dxa"/>
            <w:vMerge w:val="restart"/>
            <w:tcBorders>
              <w:top w:val="single" w:sz="4" w:space="0" w:color="auto"/>
              <w:left w:val="single" w:sz="4" w:space="0" w:color="auto"/>
              <w:right w:val="single" w:sz="4" w:space="0" w:color="auto"/>
            </w:tcBorders>
            <w:shd w:val="clear" w:color="auto" w:fill="auto"/>
            <w:vAlign w:val="center"/>
          </w:tcPr>
          <w:p w14:paraId="2D7BE8B8" w14:textId="0F8A1500" w:rsidR="00446695" w:rsidRPr="00446695" w:rsidRDefault="00446695" w:rsidP="00446695">
            <w:pPr>
              <w:overflowPunct/>
              <w:autoSpaceDE/>
              <w:autoSpaceDN/>
              <w:adjustRightInd/>
              <w:spacing w:after="0"/>
              <w:jc w:val="center"/>
              <w:textAlignment w:val="auto"/>
              <w:rPr>
                <w:color w:val="000000"/>
                <w:sz w:val="18"/>
                <w:szCs w:val="18"/>
              </w:rPr>
            </w:pPr>
            <w:r w:rsidRPr="00E266E9">
              <w:rPr>
                <w:color w:val="000000"/>
                <w:sz w:val="18"/>
                <w:szCs w:val="18"/>
              </w:rPr>
              <w:t xml:space="preserve">SCS </w:t>
            </w:r>
            <w:r w:rsidRPr="00E266E9">
              <w:rPr>
                <w:color w:val="000000"/>
                <w:sz w:val="18"/>
                <w:szCs w:val="18"/>
              </w:rPr>
              <w:lastRenderedPageBreak/>
              <w:t>[kHz]</w:t>
            </w:r>
          </w:p>
        </w:tc>
        <w:tc>
          <w:tcPr>
            <w:tcW w:w="742" w:type="dxa"/>
            <w:tcBorders>
              <w:top w:val="single" w:sz="4" w:space="0" w:color="auto"/>
              <w:left w:val="nil"/>
              <w:bottom w:val="single" w:sz="4" w:space="0" w:color="auto"/>
              <w:right w:val="single" w:sz="4" w:space="0" w:color="auto"/>
            </w:tcBorders>
            <w:shd w:val="clear" w:color="auto" w:fill="auto"/>
            <w:noWrap/>
            <w:vAlign w:val="center"/>
          </w:tcPr>
          <w:p w14:paraId="059BAE05" w14:textId="3F5456A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E266E9">
              <w:rPr>
                <w:rFonts w:ascii="Calibri" w:hAnsi="Calibri"/>
                <w:color w:val="000000"/>
                <w:sz w:val="18"/>
                <w:szCs w:val="18"/>
              </w:rPr>
              <w:lastRenderedPageBreak/>
              <w:t>5</w:t>
            </w:r>
          </w:p>
        </w:tc>
        <w:tc>
          <w:tcPr>
            <w:tcW w:w="684" w:type="dxa"/>
            <w:tcBorders>
              <w:top w:val="single" w:sz="4" w:space="0" w:color="auto"/>
              <w:left w:val="nil"/>
              <w:bottom w:val="single" w:sz="4" w:space="0" w:color="auto"/>
              <w:right w:val="single" w:sz="4" w:space="0" w:color="auto"/>
            </w:tcBorders>
            <w:shd w:val="clear" w:color="auto" w:fill="auto"/>
            <w:noWrap/>
            <w:vAlign w:val="center"/>
          </w:tcPr>
          <w:p w14:paraId="406F9AC2" w14:textId="218D113F"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E266E9">
              <w:rPr>
                <w:rFonts w:ascii="Calibri" w:hAnsi="Calibri"/>
                <w:color w:val="000000"/>
                <w:sz w:val="18"/>
                <w:szCs w:val="18"/>
              </w:rPr>
              <w:t>10</w:t>
            </w:r>
          </w:p>
        </w:tc>
        <w:tc>
          <w:tcPr>
            <w:tcW w:w="685" w:type="dxa"/>
            <w:tcBorders>
              <w:top w:val="single" w:sz="4" w:space="0" w:color="auto"/>
              <w:left w:val="nil"/>
              <w:bottom w:val="single" w:sz="4" w:space="0" w:color="auto"/>
              <w:right w:val="single" w:sz="4" w:space="0" w:color="auto"/>
            </w:tcBorders>
            <w:shd w:val="clear" w:color="auto" w:fill="auto"/>
            <w:noWrap/>
            <w:vAlign w:val="center"/>
          </w:tcPr>
          <w:p w14:paraId="1490CD03" w14:textId="3BDB69CA"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E266E9">
              <w:rPr>
                <w:rFonts w:ascii="Calibri" w:hAnsi="Calibri"/>
                <w:color w:val="000000"/>
                <w:sz w:val="18"/>
                <w:szCs w:val="18"/>
              </w:rPr>
              <w:t>15</w:t>
            </w:r>
          </w:p>
        </w:tc>
        <w:tc>
          <w:tcPr>
            <w:tcW w:w="685" w:type="dxa"/>
            <w:tcBorders>
              <w:top w:val="single" w:sz="4" w:space="0" w:color="auto"/>
              <w:left w:val="nil"/>
              <w:bottom w:val="single" w:sz="4" w:space="0" w:color="auto"/>
              <w:right w:val="single" w:sz="4" w:space="0" w:color="auto"/>
            </w:tcBorders>
            <w:shd w:val="clear" w:color="auto" w:fill="auto"/>
            <w:noWrap/>
            <w:vAlign w:val="center"/>
          </w:tcPr>
          <w:p w14:paraId="121598FA" w14:textId="6B76444B"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E266E9">
              <w:rPr>
                <w:rFonts w:ascii="Calibri" w:hAnsi="Calibri"/>
                <w:color w:val="000000"/>
                <w:sz w:val="18"/>
                <w:szCs w:val="18"/>
              </w:rPr>
              <w:t>20</w:t>
            </w:r>
          </w:p>
        </w:tc>
        <w:tc>
          <w:tcPr>
            <w:tcW w:w="685" w:type="dxa"/>
            <w:tcBorders>
              <w:top w:val="single" w:sz="4" w:space="0" w:color="auto"/>
              <w:left w:val="nil"/>
              <w:bottom w:val="single" w:sz="4" w:space="0" w:color="auto"/>
              <w:right w:val="single" w:sz="4" w:space="0" w:color="auto"/>
            </w:tcBorders>
            <w:shd w:val="clear" w:color="auto" w:fill="auto"/>
            <w:noWrap/>
            <w:vAlign w:val="center"/>
          </w:tcPr>
          <w:p w14:paraId="619A5ABA" w14:textId="3326F040"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E266E9">
              <w:rPr>
                <w:rFonts w:ascii="Calibri" w:hAnsi="Calibri"/>
                <w:color w:val="000000"/>
                <w:sz w:val="18"/>
                <w:szCs w:val="18"/>
              </w:rPr>
              <w:t>25</w:t>
            </w:r>
          </w:p>
        </w:tc>
        <w:tc>
          <w:tcPr>
            <w:tcW w:w="685" w:type="dxa"/>
            <w:tcBorders>
              <w:top w:val="single" w:sz="4" w:space="0" w:color="auto"/>
              <w:left w:val="nil"/>
              <w:bottom w:val="single" w:sz="4" w:space="0" w:color="auto"/>
              <w:right w:val="single" w:sz="4" w:space="0" w:color="auto"/>
            </w:tcBorders>
            <w:shd w:val="clear" w:color="auto" w:fill="auto"/>
            <w:noWrap/>
            <w:vAlign w:val="center"/>
          </w:tcPr>
          <w:p w14:paraId="79977C57" w14:textId="77DB9C97" w:rsidR="00446695" w:rsidRPr="00446695" w:rsidRDefault="00446695" w:rsidP="00446695">
            <w:pPr>
              <w:overflowPunct/>
              <w:autoSpaceDE/>
              <w:autoSpaceDN/>
              <w:adjustRightInd/>
              <w:spacing w:after="0"/>
              <w:jc w:val="center"/>
              <w:textAlignment w:val="auto"/>
              <w:rPr>
                <w:rFonts w:ascii="Calibri" w:hAnsi="Calibri"/>
                <w:color w:val="000000"/>
                <w:sz w:val="16"/>
                <w:szCs w:val="16"/>
                <w:highlight w:val="red"/>
              </w:rPr>
            </w:pPr>
            <w:r w:rsidRPr="00E266E9">
              <w:rPr>
                <w:rFonts w:ascii="Calibri" w:hAnsi="Calibri"/>
                <w:color w:val="000000"/>
                <w:sz w:val="18"/>
                <w:szCs w:val="18"/>
              </w:rPr>
              <w:t>30</w:t>
            </w:r>
          </w:p>
        </w:tc>
        <w:tc>
          <w:tcPr>
            <w:tcW w:w="685" w:type="dxa"/>
            <w:tcBorders>
              <w:top w:val="single" w:sz="4" w:space="0" w:color="auto"/>
              <w:left w:val="nil"/>
              <w:bottom w:val="single" w:sz="4" w:space="0" w:color="auto"/>
              <w:right w:val="single" w:sz="4" w:space="0" w:color="auto"/>
            </w:tcBorders>
            <w:shd w:val="clear" w:color="auto" w:fill="auto"/>
            <w:noWrap/>
            <w:vAlign w:val="center"/>
          </w:tcPr>
          <w:p w14:paraId="438A0F97" w14:textId="3F1348CA"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E266E9">
              <w:rPr>
                <w:rFonts w:ascii="Calibri" w:hAnsi="Calibri"/>
                <w:color w:val="000000"/>
                <w:sz w:val="18"/>
                <w:szCs w:val="18"/>
              </w:rPr>
              <w:t>40</w:t>
            </w:r>
          </w:p>
        </w:tc>
        <w:tc>
          <w:tcPr>
            <w:tcW w:w="685" w:type="dxa"/>
            <w:tcBorders>
              <w:top w:val="single" w:sz="4" w:space="0" w:color="auto"/>
              <w:left w:val="nil"/>
              <w:bottom w:val="single" w:sz="4" w:space="0" w:color="auto"/>
              <w:right w:val="single" w:sz="4" w:space="0" w:color="auto"/>
            </w:tcBorders>
            <w:shd w:val="clear" w:color="auto" w:fill="auto"/>
            <w:noWrap/>
            <w:vAlign w:val="center"/>
          </w:tcPr>
          <w:p w14:paraId="2284E29B" w14:textId="61DC31A4"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E266E9">
              <w:rPr>
                <w:rFonts w:ascii="Calibri" w:hAnsi="Calibri"/>
                <w:color w:val="000000"/>
                <w:sz w:val="18"/>
                <w:szCs w:val="18"/>
              </w:rPr>
              <w:t>50</w:t>
            </w:r>
          </w:p>
        </w:tc>
        <w:tc>
          <w:tcPr>
            <w:tcW w:w="600" w:type="dxa"/>
            <w:tcBorders>
              <w:top w:val="single" w:sz="4" w:space="0" w:color="auto"/>
              <w:left w:val="nil"/>
              <w:bottom w:val="single" w:sz="4" w:space="0" w:color="auto"/>
              <w:right w:val="single" w:sz="4" w:space="0" w:color="auto"/>
            </w:tcBorders>
            <w:shd w:val="clear" w:color="auto" w:fill="auto"/>
            <w:noWrap/>
            <w:vAlign w:val="center"/>
          </w:tcPr>
          <w:p w14:paraId="5EF62A79" w14:textId="57694CA0"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E266E9">
              <w:rPr>
                <w:rFonts w:ascii="Calibri" w:hAnsi="Calibri"/>
                <w:color w:val="000000"/>
                <w:sz w:val="18"/>
                <w:szCs w:val="18"/>
              </w:rPr>
              <w:t>60</w:t>
            </w:r>
          </w:p>
        </w:tc>
        <w:tc>
          <w:tcPr>
            <w:tcW w:w="600" w:type="dxa"/>
            <w:tcBorders>
              <w:top w:val="single" w:sz="4" w:space="0" w:color="auto"/>
              <w:left w:val="nil"/>
              <w:bottom w:val="single" w:sz="4" w:space="0" w:color="auto"/>
              <w:right w:val="single" w:sz="4" w:space="0" w:color="auto"/>
            </w:tcBorders>
            <w:shd w:val="clear" w:color="auto" w:fill="auto"/>
            <w:noWrap/>
            <w:vAlign w:val="center"/>
          </w:tcPr>
          <w:p w14:paraId="24C85FD1" w14:textId="7DAD6D1D"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E266E9">
              <w:rPr>
                <w:rFonts w:ascii="Calibri" w:hAnsi="Calibri"/>
                <w:color w:val="000000"/>
                <w:sz w:val="18"/>
                <w:szCs w:val="18"/>
              </w:rPr>
              <w:t>70</w:t>
            </w:r>
          </w:p>
        </w:tc>
        <w:tc>
          <w:tcPr>
            <w:tcW w:w="600" w:type="dxa"/>
            <w:tcBorders>
              <w:top w:val="single" w:sz="4" w:space="0" w:color="auto"/>
              <w:left w:val="nil"/>
              <w:bottom w:val="single" w:sz="4" w:space="0" w:color="auto"/>
              <w:right w:val="single" w:sz="4" w:space="0" w:color="auto"/>
            </w:tcBorders>
            <w:shd w:val="clear" w:color="auto" w:fill="auto"/>
            <w:noWrap/>
            <w:vAlign w:val="center"/>
          </w:tcPr>
          <w:p w14:paraId="36109211" w14:textId="013FED52"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E266E9">
              <w:rPr>
                <w:rFonts w:ascii="Calibri" w:hAnsi="Calibri"/>
                <w:color w:val="000000"/>
                <w:sz w:val="18"/>
                <w:szCs w:val="18"/>
              </w:rPr>
              <w:t>80</w:t>
            </w:r>
          </w:p>
        </w:tc>
        <w:tc>
          <w:tcPr>
            <w:tcW w:w="600" w:type="dxa"/>
            <w:tcBorders>
              <w:top w:val="single" w:sz="4" w:space="0" w:color="auto"/>
              <w:left w:val="nil"/>
              <w:bottom w:val="single" w:sz="4" w:space="0" w:color="auto"/>
              <w:right w:val="single" w:sz="4" w:space="0" w:color="auto"/>
            </w:tcBorders>
            <w:shd w:val="clear" w:color="auto" w:fill="auto"/>
            <w:noWrap/>
            <w:vAlign w:val="center"/>
          </w:tcPr>
          <w:p w14:paraId="34C07868" w14:textId="0C8018F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E266E9">
              <w:rPr>
                <w:rFonts w:ascii="Calibri" w:hAnsi="Calibri"/>
                <w:color w:val="000000"/>
                <w:sz w:val="18"/>
                <w:szCs w:val="18"/>
              </w:rPr>
              <w:t>90</w:t>
            </w:r>
          </w:p>
        </w:tc>
        <w:tc>
          <w:tcPr>
            <w:tcW w:w="603" w:type="dxa"/>
            <w:tcBorders>
              <w:top w:val="single" w:sz="4" w:space="0" w:color="auto"/>
              <w:left w:val="nil"/>
              <w:bottom w:val="single" w:sz="4" w:space="0" w:color="auto"/>
              <w:right w:val="single" w:sz="4" w:space="0" w:color="auto"/>
            </w:tcBorders>
            <w:shd w:val="clear" w:color="auto" w:fill="auto"/>
            <w:noWrap/>
            <w:vAlign w:val="center"/>
          </w:tcPr>
          <w:p w14:paraId="56D80CA4" w14:textId="294A7BB9"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E266E9">
              <w:rPr>
                <w:rFonts w:ascii="Calibri" w:hAnsi="Calibri"/>
                <w:color w:val="000000"/>
                <w:sz w:val="18"/>
                <w:szCs w:val="18"/>
              </w:rPr>
              <w:t>100</w:t>
            </w:r>
          </w:p>
        </w:tc>
      </w:tr>
      <w:tr w:rsidR="00446695" w:rsidRPr="00446695" w14:paraId="07D80F5E" w14:textId="77777777" w:rsidTr="00446695">
        <w:trPr>
          <w:trHeight w:val="240"/>
        </w:trPr>
        <w:tc>
          <w:tcPr>
            <w:tcW w:w="735" w:type="dxa"/>
            <w:vMerge/>
            <w:tcBorders>
              <w:left w:val="single" w:sz="4" w:space="0" w:color="auto"/>
              <w:bottom w:val="single" w:sz="4" w:space="0" w:color="auto"/>
              <w:right w:val="single" w:sz="4" w:space="0" w:color="auto"/>
            </w:tcBorders>
            <w:shd w:val="clear" w:color="auto" w:fill="auto"/>
            <w:vAlign w:val="center"/>
          </w:tcPr>
          <w:p w14:paraId="2A21A264" w14:textId="77777777" w:rsidR="00446695" w:rsidRPr="00446695" w:rsidRDefault="00446695" w:rsidP="00446695">
            <w:pPr>
              <w:overflowPunct/>
              <w:autoSpaceDE/>
              <w:autoSpaceDN/>
              <w:adjustRightInd/>
              <w:spacing w:after="0"/>
              <w:jc w:val="center"/>
              <w:textAlignment w:val="auto"/>
              <w:rPr>
                <w:color w:val="000000"/>
                <w:sz w:val="18"/>
                <w:szCs w:val="18"/>
              </w:rPr>
            </w:pPr>
          </w:p>
        </w:tc>
        <w:tc>
          <w:tcPr>
            <w:tcW w:w="742" w:type="dxa"/>
            <w:tcBorders>
              <w:top w:val="single" w:sz="4" w:space="0" w:color="auto"/>
              <w:left w:val="nil"/>
              <w:bottom w:val="single" w:sz="4" w:space="0" w:color="auto"/>
              <w:right w:val="single" w:sz="4" w:space="0" w:color="auto"/>
            </w:tcBorders>
            <w:shd w:val="clear" w:color="auto" w:fill="auto"/>
            <w:noWrap/>
            <w:vAlign w:val="center"/>
          </w:tcPr>
          <w:p w14:paraId="675F974A" w14:textId="29792BD5"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E266E9">
              <w:rPr>
                <w:color w:val="000000"/>
                <w:sz w:val="18"/>
                <w:szCs w:val="18"/>
              </w:rPr>
              <w:t>N</w:t>
            </w:r>
            <w:r w:rsidRPr="00E266E9">
              <w:rPr>
                <w:color w:val="000000"/>
                <w:sz w:val="18"/>
                <w:szCs w:val="18"/>
                <w:vertAlign w:val="subscript"/>
              </w:rPr>
              <w:t>RB</w:t>
            </w:r>
          </w:p>
        </w:tc>
        <w:tc>
          <w:tcPr>
            <w:tcW w:w="684" w:type="dxa"/>
            <w:tcBorders>
              <w:top w:val="single" w:sz="4" w:space="0" w:color="auto"/>
              <w:left w:val="nil"/>
              <w:bottom w:val="single" w:sz="4" w:space="0" w:color="auto"/>
              <w:right w:val="single" w:sz="4" w:space="0" w:color="auto"/>
            </w:tcBorders>
            <w:shd w:val="clear" w:color="auto" w:fill="auto"/>
            <w:noWrap/>
            <w:vAlign w:val="center"/>
          </w:tcPr>
          <w:p w14:paraId="593BDE3A" w14:textId="28934E61"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E266E9">
              <w:rPr>
                <w:color w:val="000000"/>
                <w:sz w:val="18"/>
                <w:szCs w:val="18"/>
              </w:rPr>
              <w:t>N</w:t>
            </w:r>
            <w:r w:rsidRPr="00E266E9">
              <w:rPr>
                <w:color w:val="000000"/>
                <w:sz w:val="18"/>
                <w:szCs w:val="18"/>
                <w:vertAlign w:val="subscript"/>
              </w:rPr>
              <w:t>RB</w:t>
            </w:r>
          </w:p>
        </w:tc>
        <w:tc>
          <w:tcPr>
            <w:tcW w:w="685" w:type="dxa"/>
            <w:tcBorders>
              <w:top w:val="single" w:sz="4" w:space="0" w:color="auto"/>
              <w:left w:val="nil"/>
              <w:bottom w:val="single" w:sz="4" w:space="0" w:color="auto"/>
              <w:right w:val="single" w:sz="4" w:space="0" w:color="auto"/>
            </w:tcBorders>
            <w:shd w:val="clear" w:color="auto" w:fill="auto"/>
            <w:noWrap/>
            <w:vAlign w:val="center"/>
          </w:tcPr>
          <w:p w14:paraId="68C949EF" w14:textId="36329FB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E266E9">
              <w:rPr>
                <w:color w:val="000000"/>
                <w:sz w:val="18"/>
                <w:szCs w:val="18"/>
              </w:rPr>
              <w:t>N</w:t>
            </w:r>
            <w:r w:rsidRPr="00E266E9">
              <w:rPr>
                <w:color w:val="000000"/>
                <w:sz w:val="18"/>
                <w:szCs w:val="18"/>
                <w:vertAlign w:val="subscript"/>
              </w:rPr>
              <w:t>RB</w:t>
            </w:r>
          </w:p>
        </w:tc>
        <w:tc>
          <w:tcPr>
            <w:tcW w:w="685" w:type="dxa"/>
            <w:tcBorders>
              <w:top w:val="single" w:sz="4" w:space="0" w:color="auto"/>
              <w:left w:val="nil"/>
              <w:bottom w:val="single" w:sz="4" w:space="0" w:color="auto"/>
              <w:right w:val="single" w:sz="4" w:space="0" w:color="auto"/>
            </w:tcBorders>
            <w:shd w:val="clear" w:color="auto" w:fill="auto"/>
            <w:noWrap/>
            <w:vAlign w:val="center"/>
          </w:tcPr>
          <w:p w14:paraId="0D264120" w14:textId="4F2601B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E266E9">
              <w:rPr>
                <w:color w:val="000000"/>
                <w:sz w:val="18"/>
                <w:szCs w:val="18"/>
              </w:rPr>
              <w:t>N</w:t>
            </w:r>
            <w:r w:rsidRPr="00E266E9">
              <w:rPr>
                <w:color w:val="000000"/>
                <w:sz w:val="18"/>
                <w:szCs w:val="18"/>
                <w:vertAlign w:val="subscript"/>
              </w:rPr>
              <w:t>RB</w:t>
            </w:r>
          </w:p>
        </w:tc>
        <w:tc>
          <w:tcPr>
            <w:tcW w:w="685" w:type="dxa"/>
            <w:tcBorders>
              <w:top w:val="single" w:sz="4" w:space="0" w:color="auto"/>
              <w:left w:val="nil"/>
              <w:bottom w:val="single" w:sz="4" w:space="0" w:color="auto"/>
              <w:right w:val="single" w:sz="4" w:space="0" w:color="auto"/>
            </w:tcBorders>
            <w:shd w:val="clear" w:color="auto" w:fill="auto"/>
            <w:noWrap/>
            <w:vAlign w:val="center"/>
          </w:tcPr>
          <w:p w14:paraId="0F9D204D" w14:textId="001C9D8E"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E266E9">
              <w:rPr>
                <w:color w:val="000000"/>
                <w:sz w:val="18"/>
                <w:szCs w:val="18"/>
              </w:rPr>
              <w:t>N</w:t>
            </w:r>
            <w:r w:rsidRPr="00E266E9">
              <w:rPr>
                <w:color w:val="000000"/>
                <w:sz w:val="18"/>
                <w:szCs w:val="18"/>
                <w:vertAlign w:val="subscript"/>
              </w:rPr>
              <w:t>RB</w:t>
            </w:r>
          </w:p>
        </w:tc>
        <w:tc>
          <w:tcPr>
            <w:tcW w:w="685" w:type="dxa"/>
            <w:tcBorders>
              <w:top w:val="single" w:sz="4" w:space="0" w:color="auto"/>
              <w:left w:val="nil"/>
              <w:bottom w:val="single" w:sz="4" w:space="0" w:color="auto"/>
              <w:right w:val="single" w:sz="4" w:space="0" w:color="auto"/>
            </w:tcBorders>
            <w:shd w:val="clear" w:color="auto" w:fill="auto"/>
            <w:noWrap/>
            <w:vAlign w:val="center"/>
          </w:tcPr>
          <w:p w14:paraId="19ECDBE1" w14:textId="64D4FC6B" w:rsidR="00446695" w:rsidRPr="00446695" w:rsidRDefault="00446695" w:rsidP="00446695">
            <w:pPr>
              <w:overflowPunct/>
              <w:autoSpaceDE/>
              <w:autoSpaceDN/>
              <w:adjustRightInd/>
              <w:spacing w:after="0"/>
              <w:jc w:val="center"/>
              <w:textAlignment w:val="auto"/>
              <w:rPr>
                <w:rFonts w:ascii="Calibri" w:hAnsi="Calibri"/>
                <w:color w:val="000000"/>
                <w:sz w:val="16"/>
                <w:szCs w:val="16"/>
                <w:highlight w:val="red"/>
              </w:rPr>
            </w:pPr>
            <w:r w:rsidRPr="00E266E9">
              <w:rPr>
                <w:color w:val="000000"/>
                <w:sz w:val="18"/>
                <w:szCs w:val="18"/>
              </w:rPr>
              <w:t>N</w:t>
            </w:r>
            <w:r w:rsidRPr="00E266E9">
              <w:rPr>
                <w:color w:val="000000"/>
                <w:sz w:val="18"/>
                <w:szCs w:val="18"/>
                <w:vertAlign w:val="subscript"/>
              </w:rPr>
              <w:t>RB</w:t>
            </w:r>
          </w:p>
        </w:tc>
        <w:tc>
          <w:tcPr>
            <w:tcW w:w="685" w:type="dxa"/>
            <w:tcBorders>
              <w:top w:val="single" w:sz="4" w:space="0" w:color="auto"/>
              <w:left w:val="nil"/>
              <w:bottom w:val="single" w:sz="4" w:space="0" w:color="auto"/>
              <w:right w:val="single" w:sz="4" w:space="0" w:color="auto"/>
            </w:tcBorders>
            <w:shd w:val="clear" w:color="auto" w:fill="auto"/>
            <w:noWrap/>
            <w:vAlign w:val="center"/>
          </w:tcPr>
          <w:p w14:paraId="2EBBF92B" w14:textId="59E478AD"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E266E9">
              <w:rPr>
                <w:color w:val="000000"/>
                <w:sz w:val="18"/>
                <w:szCs w:val="18"/>
              </w:rPr>
              <w:t>N</w:t>
            </w:r>
            <w:r w:rsidRPr="00E266E9">
              <w:rPr>
                <w:color w:val="000000"/>
                <w:sz w:val="18"/>
                <w:szCs w:val="18"/>
                <w:vertAlign w:val="subscript"/>
              </w:rPr>
              <w:t>RB</w:t>
            </w:r>
          </w:p>
        </w:tc>
        <w:tc>
          <w:tcPr>
            <w:tcW w:w="685" w:type="dxa"/>
            <w:tcBorders>
              <w:top w:val="single" w:sz="4" w:space="0" w:color="auto"/>
              <w:left w:val="nil"/>
              <w:bottom w:val="single" w:sz="4" w:space="0" w:color="auto"/>
              <w:right w:val="single" w:sz="4" w:space="0" w:color="auto"/>
            </w:tcBorders>
            <w:shd w:val="clear" w:color="auto" w:fill="auto"/>
            <w:noWrap/>
            <w:vAlign w:val="center"/>
          </w:tcPr>
          <w:p w14:paraId="7C52A376" w14:textId="2CF66AFA"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E266E9">
              <w:rPr>
                <w:color w:val="000000"/>
                <w:sz w:val="18"/>
                <w:szCs w:val="18"/>
              </w:rPr>
              <w:t>N</w:t>
            </w:r>
            <w:r w:rsidRPr="00E266E9">
              <w:rPr>
                <w:color w:val="000000"/>
                <w:sz w:val="18"/>
                <w:szCs w:val="18"/>
                <w:vertAlign w:val="subscript"/>
              </w:rPr>
              <w:t>RB</w:t>
            </w:r>
          </w:p>
        </w:tc>
        <w:tc>
          <w:tcPr>
            <w:tcW w:w="600" w:type="dxa"/>
            <w:tcBorders>
              <w:top w:val="single" w:sz="4" w:space="0" w:color="auto"/>
              <w:left w:val="nil"/>
              <w:bottom w:val="single" w:sz="4" w:space="0" w:color="auto"/>
              <w:right w:val="single" w:sz="4" w:space="0" w:color="auto"/>
            </w:tcBorders>
            <w:shd w:val="clear" w:color="auto" w:fill="auto"/>
            <w:noWrap/>
            <w:vAlign w:val="center"/>
          </w:tcPr>
          <w:p w14:paraId="0955D298" w14:textId="0472C26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E266E9">
              <w:rPr>
                <w:color w:val="000000"/>
                <w:sz w:val="18"/>
                <w:szCs w:val="18"/>
              </w:rPr>
              <w:t>N</w:t>
            </w:r>
            <w:r w:rsidRPr="00E266E9">
              <w:rPr>
                <w:color w:val="000000"/>
                <w:sz w:val="18"/>
                <w:szCs w:val="18"/>
                <w:vertAlign w:val="subscript"/>
              </w:rPr>
              <w:t>RB</w:t>
            </w:r>
          </w:p>
        </w:tc>
        <w:tc>
          <w:tcPr>
            <w:tcW w:w="600" w:type="dxa"/>
            <w:tcBorders>
              <w:top w:val="single" w:sz="4" w:space="0" w:color="auto"/>
              <w:left w:val="nil"/>
              <w:bottom w:val="single" w:sz="4" w:space="0" w:color="auto"/>
              <w:right w:val="single" w:sz="4" w:space="0" w:color="auto"/>
            </w:tcBorders>
            <w:shd w:val="clear" w:color="auto" w:fill="auto"/>
            <w:noWrap/>
            <w:vAlign w:val="center"/>
          </w:tcPr>
          <w:p w14:paraId="3C7CB3E9" w14:textId="4198AB21"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E266E9">
              <w:rPr>
                <w:color w:val="000000"/>
                <w:sz w:val="18"/>
                <w:szCs w:val="18"/>
              </w:rPr>
              <w:t>N</w:t>
            </w:r>
            <w:r w:rsidRPr="00E266E9">
              <w:rPr>
                <w:color w:val="000000"/>
                <w:sz w:val="18"/>
                <w:szCs w:val="18"/>
                <w:vertAlign w:val="subscript"/>
              </w:rPr>
              <w:t>RB</w:t>
            </w:r>
          </w:p>
        </w:tc>
        <w:tc>
          <w:tcPr>
            <w:tcW w:w="600" w:type="dxa"/>
            <w:tcBorders>
              <w:top w:val="single" w:sz="4" w:space="0" w:color="auto"/>
              <w:left w:val="nil"/>
              <w:bottom w:val="single" w:sz="4" w:space="0" w:color="auto"/>
              <w:right w:val="single" w:sz="4" w:space="0" w:color="auto"/>
            </w:tcBorders>
            <w:shd w:val="clear" w:color="auto" w:fill="auto"/>
            <w:noWrap/>
            <w:vAlign w:val="center"/>
          </w:tcPr>
          <w:p w14:paraId="170ECF4F" w14:textId="18E9F64B"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E266E9">
              <w:rPr>
                <w:color w:val="000000"/>
                <w:sz w:val="18"/>
                <w:szCs w:val="18"/>
              </w:rPr>
              <w:t>N</w:t>
            </w:r>
            <w:r w:rsidRPr="00E266E9">
              <w:rPr>
                <w:color w:val="000000"/>
                <w:sz w:val="18"/>
                <w:szCs w:val="18"/>
                <w:vertAlign w:val="subscript"/>
              </w:rPr>
              <w:t>RB</w:t>
            </w:r>
          </w:p>
        </w:tc>
        <w:tc>
          <w:tcPr>
            <w:tcW w:w="600" w:type="dxa"/>
            <w:tcBorders>
              <w:top w:val="single" w:sz="4" w:space="0" w:color="auto"/>
              <w:left w:val="nil"/>
              <w:bottom w:val="single" w:sz="4" w:space="0" w:color="auto"/>
              <w:right w:val="single" w:sz="4" w:space="0" w:color="auto"/>
            </w:tcBorders>
            <w:shd w:val="clear" w:color="auto" w:fill="auto"/>
            <w:noWrap/>
            <w:vAlign w:val="center"/>
          </w:tcPr>
          <w:p w14:paraId="2E33BF20" w14:textId="629A64E6"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E266E9">
              <w:rPr>
                <w:color w:val="000000"/>
                <w:sz w:val="18"/>
                <w:szCs w:val="18"/>
              </w:rPr>
              <w:t>N</w:t>
            </w:r>
            <w:r w:rsidRPr="00E266E9">
              <w:rPr>
                <w:color w:val="000000"/>
                <w:sz w:val="18"/>
                <w:szCs w:val="18"/>
                <w:vertAlign w:val="subscript"/>
              </w:rPr>
              <w:t>RB</w:t>
            </w:r>
          </w:p>
        </w:tc>
        <w:tc>
          <w:tcPr>
            <w:tcW w:w="603" w:type="dxa"/>
            <w:tcBorders>
              <w:top w:val="single" w:sz="4" w:space="0" w:color="auto"/>
              <w:left w:val="nil"/>
              <w:bottom w:val="single" w:sz="4" w:space="0" w:color="auto"/>
              <w:right w:val="single" w:sz="4" w:space="0" w:color="auto"/>
            </w:tcBorders>
            <w:shd w:val="clear" w:color="auto" w:fill="auto"/>
            <w:noWrap/>
            <w:vAlign w:val="center"/>
          </w:tcPr>
          <w:p w14:paraId="1237F5A9" w14:textId="581DBA99"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E266E9">
              <w:rPr>
                <w:color w:val="000000"/>
                <w:sz w:val="18"/>
                <w:szCs w:val="18"/>
              </w:rPr>
              <w:t>N</w:t>
            </w:r>
            <w:r w:rsidRPr="00E266E9">
              <w:rPr>
                <w:color w:val="000000"/>
                <w:sz w:val="18"/>
                <w:szCs w:val="18"/>
                <w:vertAlign w:val="subscript"/>
              </w:rPr>
              <w:t>RB</w:t>
            </w:r>
          </w:p>
        </w:tc>
      </w:tr>
      <w:tr w:rsidR="00446695" w:rsidRPr="00446695" w14:paraId="151FA8CB" w14:textId="77777777" w:rsidTr="00446695">
        <w:trPr>
          <w:trHeight w:val="24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30B3C" w14:textId="77777777" w:rsidR="00446695" w:rsidRPr="00446695" w:rsidRDefault="00446695" w:rsidP="00446695">
            <w:pPr>
              <w:overflowPunct/>
              <w:autoSpaceDE/>
              <w:autoSpaceDN/>
              <w:adjustRightInd/>
              <w:spacing w:after="0"/>
              <w:jc w:val="center"/>
              <w:textAlignment w:val="auto"/>
              <w:rPr>
                <w:color w:val="000000"/>
                <w:sz w:val="18"/>
                <w:szCs w:val="18"/>
              </w:rPr>
            </w:pPr>
            <w:r w:rsidRPr="00446695">
              <w:rPr>
                <w:color w:val="000000"/>
                <w:sz w:val="18"/>
                <w:szCs w:val="18"/>
              </w:rPr>
              <w:lastRenderedPageBreak/>
              <w:t>15</w:t>
            </w:r>
          </w:p>
        </w:tc>
        <w:tc>
          <w:tcPr>
            <w:tcW w:w="742" w:type="dxa"/>
            <w:tcBorders>
              <w:top w:val="single" w:sz="4" w:space="0" w:color="auto"/>
              <w:left w:val="nil"/>
              <w:bottom w:val="single" w:sz="4" w:space="0" w:color="auto"/>
              <w:right w:val="single" w:sz="4" w:space="0" w:color="auto"/>
            </w:tcBorders>
            <w:shd w:val="clear" w:color="auto" w:fill="auto"/>
            <w:noWrap/>
            <w:vAlign w:val="center"/>
            <w:hideMark/>
          </w:tcPr>
          <w:p w14:paraId="5B62C3D4" w14:textId="7777777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446695">
              <w:rPr>
                <w:rFonts w:ascii="Calibri" w:hAnsi="Calibri"/>
                <w:color w:val="000000"/>
                <w:sz w:val="16"/>
                <w:szCs w:val="16"/>
              </w:rPr>
              <w:t>0.2425</w:t>
            </w:r>
          </w:p>
        </w:tc>
        <w:tc>
          <w:tcPr>
            <w:tcW w:w="684" w:type="dxa"/>
            <w:tcBorders>
              <w:top w:val="single" w:sz="4" w:space="0" w:color="auto"/>
              <w:left w:val="nil"/>
              <w:bottom w:val="single" w:sz="4" w:space="0" w:color="auto"/>
              <w:right w:val="single" w:sz="4" w:space="0" w:color="auto"/>
            </w:tcBorders>
            <w:shd w:val="clear" w:color="auto" w:fill="auto"/>
            <w:noWrap/>
            <w:vAlign w:val="center"/>
            <w:hideMark/>
          </w:tcPr>
          <w:p w14:paraId="76FF7D58" w14:textId="7777777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446695">
              <w:rPr>
                <w:rFonts w:ascii="Calibri" w:hAnsi="Calibri"/>
                <w:color w:val="000000"/>
                <w:sz w:val="16"/>
                <w:szCs w:val="16"/>
              </w:rPr>
              <w:t>0.3125</w:t>
            </w:r>
          </w:p>
        </w:tc>
        <w:tc>
          <w:tcPr>
            <w:tcW w:w="685" w:type="dxa"/>
            <w:tcBorders>
              <w:top w:val="single" w:sz="4" w:space="0" w:color="auto"/>
              <w:left w:val="nil"/>
              <w:bottom w:val="single" w:sz="4" w:space="0" w:color="auto"/>
              <w:right w:val="single" w:sz="4" w:space="0" w:color="auto"/>
            </w:tcBorders>
            <w:shd w:val="clear" w:color="auto" w:fill="auto"/>
            <w:noWrap/>
            <w:vAlign w:val="center"/>
            <w:hideMark/>
          </w:tcPr>
          <w:p w14:paraId="4278974C" w14:textId="7777777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446695">
              <w:rPr>
                <w:rFonts w:ascii="Calibri" w:hAnsi="Calibri"/>
                <w:color w:val="000000"/>
                <w:sz w:val="16"/>
                <w:szCs w:val="16"/>
              </w:rPr>
              <w:t>0.3825</w:t>
            </w:r>
          </w:p>
        </w:tc>
        <w:tc>
          <w:tcPr>
            <w:tcW w:w="685" w:type="dxa"/>
            <w:tcBorders>
              <w:top w:val="single" w:sz="4" w:space="0" w:color="auto"/>
              <w:left w:val="nil"/>
              <w:bottom w:val="single" w:sz="4" w:space="0" w:color="auto"/>
              <w:right w:val="single" w:sz="4" w:space="0" w:color="auto"/>
            </w:tcBorders>
            <w:shd w:val="clear" w:color="auto" w:fill="auto"/>
            <w:noWrap/>
            <w:vAlign w:val="center"/>
            <w:hideMark/>
          </w:tcPr>
          <w:p w14:paraId="2751220B" w14:textId="7777777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446695">
              <w:rPr>
                <w:rFonts w:ascii="Calibri" w:hAnsi="Calibri"/>
                <w:color w:val="000000"/>
                <w:sz w:val="16"/>
                <w:szCs w:val="16"/>
              </w:rPr>
              <w:t>0.4525</w:t>
            </w:r>
          </w:p>
        </w:tc>
        <w:tc>
          <w:tcPr>
            <w:tcW w:w="685" w:type="dxa"/>
            <w:tcBorders>
              <w:top w:val="single" w:sz="4" w:space="0" w:color="auto"/>
              <w:left w:val="nil"/>
              <w:bottom w:val="single" w:sz="4" w:space="0" w:color="auto"/>
              <w:right w:val="single" w:sz="4" w:space="0" w:color="auto"/>
            </w:tcBorders>
            <w:shd w:val="clear" w:color="auto" w:fill="auto"/>
            <w:noWrap/>
            <w:vAlign w:val="center"/>
            <w:hideMark/>
          </w:tcPr>
          <w:p w14:paraId="6E93B4E5" w14:textId="7777777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446695">
              <w:rPr>
                <w:rFonts w:ascii="Calibri" w:hAnsi="Calibri"/>
                <w:color w:val="000000"/>
                <w:sz w:val="16"/>
                <w:szCs w:val="16"/>
              </w:rPr>
              <w:t>0.5225</w:t>
            </w:r>
          </w:p>
        </w:tc>
        <w:tc>
          <w:tcPr>
            <w:tcW w:w="685" w:type="dxa"/>
            <w:tcBorders>
              <w:top w:val="single" w:sz="4" w:space="0" w:color="auto"/>
              <w:left w:val="nil"/>
              <w:bottom w:val="single" w:sz="4" w:space="0" w:color="auto"/>
              <w:right w:val="single" w:sz="4" w:space="0" w:color="auto"/>
            </w:tcBorders>
            <w:shd w:val="clear" w:color="auto" w:fill="auto"/>
            <w:noWrap/>
            <w:vAlign w:val="center"/>
            <w:hideMark/>
          </w:tcPr>
          <w:p w14:paraId="338F982C" w14:textId="7777777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446695">
              <w:rPr>
                <w:rFonts w:ascii="Calibri" w:hAnsi="Calibri"/>
                <w:color w:val="000000"/>
                <w:sz w:val="16"/>
                <w:szCs w:val="16"/>
                <w:highlight w:val="red"/>
              </w:rPr>
              <w:t>0.5925</w:t>
            </w:r>
          </w:p>
        </w:tc>
        <w:tc>
          <w:tcPr>
            <w:tcW w:w="685" w:type="dxa"/>
            <w:tcBorders>
              <w:top w:val="single" w:sz="4" w:space="0" w:color="auto"/>
              <w:left w:val="nil"/>
              <w:bottom w:val="single" w:sz="4" w:space="0" w:color="auto"/>
              <w:right w:val="single" w:sz="4" w:space="0" w:color="auto"/>
            </w:tcBorders>
            <w:shd w:val="clear" w:color="auto" w:fill="auto"/>
            <w:noWrap/>
            <w:vAlign w:val="center"/>
            <w:hideMark/>
          </w:tcPr>
          <w:p w14:paraId="26CDA7E1" w14:textId="7777777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446695">
              <w:rPr>
                <w:rFonts w:ascii="Calibri" w:hAnsi="Calibri"/>
                <w:color w:val="000000"/>
                <w:sz w:val="16"/>
                <w:szCs w:val="16"/>
              </w:rPr>
              <w:t>0.5525</w:t>
            </w:r>
          </w:p>
        </w:tc>
        <w:tc>
          <w:tcPr>
            <w:tcW w:w="685" w:type="dxa"/>
            <w:tcBorders>
              <w:top w:val="single" w:sz="4" w:space="0" w:color="auto"/>
              <w:left w:val="nil"/>
              <w:bottom w:val="single" w:sz="4" w:space="0" w:color="auto"/>
              <w:right w:val="single" w:sz="4" w:space="0" w:color="auto"/>
            </w:tcBorders>
            <w:shd w:val="clear" w:color="auto" w:fill="auto"/>
            <w:noWrap/>
            <w:vAlign w:val="center"/>
            <w:hideMark/>
          </w:tcPr>
          <w:p w14:paraId="3AAE18B0" w14:textId="7777777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446695">
              <w:rPr>
                <w:rFonts w:ascii="Calibri" w:hAnsi="Calibri"/>
                <w:color w:val="000000"/>
                <w:sz w:val="16"/>
                <w:szCs w:val="16"/>
              </w:rPr>
              <w:t>0.6925</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43F5E962" w14:textId="7777777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446695">
              <w:rPr>
                <w:rFonts w:ascii="Calibri" w:hAnsi="Calibri"/>
                <w:color w:val="000000"/>
                <w:sz w:val="16"/>
                <w:szCs w:val="16"/>
              </w:rPr>
              <w:t>NA</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4C073F73" w14:textId="7777777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446695">
              <w:rPr>
                <w:rFonts w:ascii="Calibri" w:hAnsi="Calibri"/>
                <w:color w:val="000000"/>
                <w:sz w:val="16"/>
                <w:szCs w:val="16"/>
              </w:rPr>
              <w:t>NA</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4D19F95D" w14:textId="7777777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446695">
              <w:rPr>
                <w:rFonts w:ascii="Calibri" w:hAnsi="Calibri"/>
                <w:color w:val="000000"/>
                <w:sz w:val="16"/>
                <w:szCs w:val="16"/>
              </w:rPr>
              <w:t>NA</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788055C6" w14:textId="7777777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446695">
              <w:rPr>
                <w:rFonts w:ascii="Calibri" w:hAnsi="Calibri"/>
                <w:color w:val="000000"/>
                <w:sz w:val="16"/>
                <w:szCs w:val="16"/>
              </w:rPr>
              <w:t>NA</w:t>
            </w:r>
          </w:p>
        </w:tc>
        <w:tc>
          <w:tcPr>
            <w:tcW w:w="603" w:type="dxa"/>
            <w:tcBorders>
              <w:top w:val="single" w:sz="4" w:space="0" w:color="auto"/>
              <w:left w:val="nil"/>
              <w:bottom w:val="single" w:sz="4" w:space="0" w:color="auto"/>
              <w:right w:val="single" w:sz="4" w:space="0" w:color="auto"/>
            </w:tcBorders>
            <w:shd w:val="clear" w:color="auto" w:fill="auto"/>
            <w:noWrap/>
            <w:vAlign w:val="center"/>
            <w:hideMark/>
          </w:tcPr>
          <w:p w14:paraId="6E6789D5" w14:textId="7777777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446695">
              <w:rPr>
                <w:rFonts w:ascii="Calibri" w:hAnsi="Calibri"/>
                <w:color w:val="000000"/>
                <w:sz w:val="16"/>
                <w:szCs w:val="16"/>
              </w:rPr>
              <w:t>NA</w:t>
            </w:r>
          </w:p>
        </w:tc>
      </w:tr>
      <w:tr w:rsidR="00446695" w:rsidRPr="00446695" w14:paraId="1AFCF42C" w14:textId="77777777" w:rsidTr="00446695">
        <w:trPr>
          <w:trHeight w:val="240"/>
        </w:trPr>
        <w:tc>
          <w:tcPr>
            <w:tcW w:w="735" w:type="dxa"/>
            <w:tcBorders>
              <w:top w:val="nil"/>
              <w:left w:val="single" w:sz="4" w:space="0" w:color="auto"/>
              <w:bottom w:val="single" w:sz="4" w:space="0" w:color="auto"/>
              <w:right w:val="single" w:sz="4" w:space="0" w:color="auto"/>
            </w:tcBorders>
            <w:shd w:val="clear" w:color="auto" w:fill="auto"/>
            <w:vAlign w:val="center"/>
            <w:hideMark/>
          </w:tcPr>
          <w:p w14:paraId="7A9B2353" w14:textId="77777777" w:rsidR="00446695" w:rsidRPr="00446695" w:rsidRDefault="00446695" w:rsidP="00446695">
            <w:pPr>
              <w:overflowPunct/>
              <w:autoSpaceDE/>
              <w:autoSpaceDN/>
              <w:adjustRightInd/>
              <w:spacing w:after="0"/>
              <w:jc w:val="center"/>
              <w:textAlignment w:val="auto"/>
              <w:rPr>
                <w:color w:val="000000"/>
                <w:sz w:val="18"/>
                <w:szCs w:val="18"/>
              </w:rPr>
            </w:pPr>
            <w:r w:rsidRPr="00446695">
              <w:rPr>
                <w:color w:val="000000"/>
                <w:sz w:val="18"/>
                <w:szCs w:val="18"/>
              </w:rPr>
              <w:t>30</w:t>
            </w:r>
          </w:p>
        </w:tc>
        <w:tc>
          <w:tcPr>
            <w:tcW w:w="742" w:type="dxa"/>
            <w:tcBorders>
              <w:top w:val="nil"/>
              <w:left w:val="nil"/>
              <w:bottom w:val="single" w:sz="4" w:space="0" w:color="auto"/>
              <w:right w:val="single" w:sz="4" w:space="0" w:color="auto"/>
            </w:tcBorders>
            <w:shd w:val="clear" w:color="auto" w:fill="auto"/>
            <w:noWrap/>
            <w:vAlign w:val="center"/>
            <w:hideMark/>
          </w:tcPr>
          <w:p w14:paraId="2CA70E1B" w14:textId="7777777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446695">
              <w:rPr>
                <w:rFonts w:ascii="Calibri" w:hAnsi="Calibri"/>
                <w:color w:val="000000"/>
                <w:sz w:val="16"/>
                <w:szCs w:val="16"/>
              </w:rPr>
              <w:t>0.505</w:t>
            </w:r>
          </w:p>
        </w:tc>
        <w:tc>
          <w:tcPr>
            <w:tcW w:w="684" w:type="dxa"/>
            <w:tcBorders>
              <w:top w:val="nil"/>
              <w:left w:val="nil"/>
              <w:bottom w:val="single" w:sz="4" w:space="0" w:color="auto"/>
              <w:right w:val="single" w:sz="4" w:space="0" w:color="auto"/>
            </w:tcBorders>
            <w:shd w:val="clear" w:color="auto" w:fill="auto"/>
            <w:noWrap/>
            <w:vAlign w:val="center"/>
            <w:hideMark/>
          </w:tcPr>
          <w:p w14:paraId="1FD4EB77" w14:textId="7777777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446695">
              <w:rPr>
                <w:rFonts w:ascii="Calibri" w:hAnsi="Calibri"/>
                <w:color w:val="000000"/>
                <w:sz w:val="16"/>
                <w:szCs w:val="16"/>
              </w:rPr>
              <w:t>0.665</w:t>
            </w:r>
          </w:p>
        </w:tc>
        <w:tc>
          <w:tcPr>
            <w:tcW w:w="685" w:type="dxa"/>
            <w:tcBorders>
              <w:top w:val="nil"/>
              <w:left w:val="nil"/>
              <w:bottom w:val="single" w:sz="4" w:space="0" w:color="auto"/>
              <w:right w:val="single" w:sz="4" w:space="0" w:color="auto"/>
            </w:tcBorders>
            <w:shd w:val="clear" w:color="auto" w:fill="auto"/>
            <w:noWrap/>
            <w:vAlign w:val="center"/>
            <w:hideMark/>
          </w:tcPr>
          <w:p w14:paraId="4659FCE9" w14:textId="7777777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CB084D">
              <w:rPr>
                <w:rFonts w:ascii="Calibri" w:hAnsi="Calibri"/>
                <w:color w:val="000000"/>
                <w:sz w:val="16"/>
                <w:szCs w:val="16"/>
                <w:highlight w:val="yellow"/>
              </w:rPr>
              <w:t>0.645</w:t>
            </w:r>
          </w:p>
        </w:tc>
        <w:tc>
          <w:tcPr>
            <w:tcW w:w="685" w:type="dxa"/>
            <w:tcBorders>
              <w:top w:val="nil"/>
              <w:left w:val="nil"/>
              <w:bottom w:val="single" w:sz="4" w:space="0" w:color="auto"/>
              <w:right w:val="single" w:sz="4" w:space="0" w:color="auto"/>
            </w:tcBorders>
            <w:shd w:val="clear" w:color="auto" w:fill="auto"/>
            <w:noWrap/>
            <w:vAlign w:val="center"/>
            <w:hideMark/>
          </w:tcPr>
          <w:p w14:paraId="054857D5" w14:textId="7777777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446695">
              <w:rPr>
                <w:rFonts w:ascii="Calibri" w:hAnsi="Calibri"/>
                <w:color w:val="000000"/>
                <w:sz w:val="16"/>
                <w:szCs w:val="16"/>
              </w:rPr>
              <w:t>0.805</w:t>
            </w:r>
          </w:p>
        </w:tc>
        <w:tc>
          <w:tcPr>
            <w:tcW w:w="685" w:type="dxa"/>
            <w:tcBorders>
              <w:top w:val="nil"/>
              <w:left w:val="nil"/>
              <w:bottom w:val="single" w:sz="4" w:space="0" w:color="auto"/>
              <w:right w:val="single" w:sz="4" w:space="0" w:color="auto"/>
            </w:tcBorders>
            <w:shd w:val="clear" w:color="auto" w:fill="auto"/>
            <w:noWrap/>
            <w:vAlign w:val="center"/>
            <w:hideMark/>
          </w:tcPr>
          <w:p w14:paraId="435E2A0B" w14:textId="77777777" w:rsidR="00446695" w:rsidRPr="00CB084D" w:rsidRDefault="00446695" w:rsidP="00446695">
            <w:pPr>
              <w:overflowPunct/>
              <w:autoSpaceDE/>
              <w:autoSpaceDN/>
              <w:adjustRightInd/>
              <w:spacing w:after="0"/>
              <w:jc w:val="center"/>
              <w:textAlignment w:val="auto"/>
              <w:rPr>
                <w:rFonts w:ascii="Calibri" w:hAnsi="Calibri"/>
                <w:color w:val="000000"/>
                <w:sz w:val="16"/>
                <w:szCs w:val="16"/>
                <w:highlight w:val="yellow"/>
              </w:rPr>
            </w:pPr>
            <w:r w:rsidRPr="00CB084D">
              <w:rPr>
                <w:rFonts w:ascii="Calibri" w:hAnsi="Calibri"/>
                <w:color w:val="000000"/>
                <w:sz w:val="16"/>
                <w:szCs w:val="16"/>
                <w:highlight w:val="yellow"/>
              </w:rPr>
              <w:t>0.785</w:t>
            </w:r>
          </w:p>
        </w:tc>
        <w:tc>
          <w:tcPr>
            <w:tcW w:w="685" w:type="dxa"/>
            <w:tcBorders>
              <w:top w:val="nil"/>
              <w:left w:val="nil"/>
              <w:bottom w:val="single" w:sz="4" w:space="0" w:color="auto"/>
              <w:right w:val="single" w:sz="4" w:space="0" w:color="auto"/>
            </w:tcBorders>
            <w:shd w:val="clear" w:color="auto" w:fill="auto"/>
            <w:noWrap/>
            <w:vAlign w:val="center"/>
            <w:hideMark/>
          </w:tcPr>
          <w:p w14:paraId="0E7FD386" w14:textId="77777777" w:rsidR="00446695" w:rsidRPr="000613D8" w:rsidRDefault="00446695" w:rsidP="00446695">
            <w:pPr>
              <w:overflowPunct/>
              <w:autoSpaceDE/>
              <w:autoSpaceDN/>
              <w:adjustRightInd/>
              <w:spacing w:after="0"/>
              <w:jc w:val="center"/>
              <w:textAlignment w:val="auto"/>
              <w:rPr>
                <w:rFonts w:ascii="Calibri" w:hAnsi="Calibri"/>
                <w:color w:val="000000"/>
                <w:sz w:val="16"/>
                <w:szCs w:val="16"/>
              </w:rPr>
            </w:pPr>
            <w:r w:rsidRPr="000613D8">
              <w:rPr>
                <w:rFonts w:ascii="Calibri" w:hAnsi="Calibri"/>
                <w:color w:val="000000"/>
                <w:sz w:val="16"/>
                <w:szCs w:val="16"/>
              </w:rPr>
              <w:t>0.945</w:t>
            </w:r>
          </w:p>
        </w:tc>
        <w:tc>
          <w:tcPr>
            <w:tcW w:w="685" w:type="dxa"/>
            <w:tcBorders>
              <w:top w:val="nil"/>
              <w:left w:val="nil"/>
              <w:bottom w:val="single" w:sz="4" w:space="0" w:color="auto"/>
              <w:right w:val="single" w:sz="4" w:space="0" w:color="auto"/>
            </w:tcBorders>
            <w:shd w:val="clear" w:color="auto" w:fill="auto"/>
            <w:noWrap/>
            <w:vAlign w:val="center"/>
            <w:hideMark/>
          </w:tcPr>
          <w:p w14:paraId="58E261E4" w14:textId="77777777" w:rsidR="00446695" w:rsidRPr="00CB084D" w:rsidRDefault="00446695" w:rsidP="00446695">
            <w:pPr>
              <w:overflowPunct/>
              <w:autoSpaceDE/>
              <w:autoSpaceDN/>
              <w:adjustRightInd/>
              <w:spacing w:after="0"/>
              <w:jc w:val="center"/>
              <w:textAlignment w:val="auto"/>
              <w:rPr>
                <w:rFonts w:ascii="Calibri" w:hAnsi="Calibri"/>
                <w:color w:val="000000"/>
                <w:sz w:val="16"/>
                <w:szCs w:val="16"/>
                <w:highlight w:val="yellow"/>
              </w:rPr>
            </w:pPr>
            <w:r w:rsidRPr="00CB084D">
              <w:rPr>
                <w:rFonts w:ascii="Calibri" w:hAnsi="Calibri"/>
                <w:color w:val="000000"/>
                <w:sz w:val="16"/>
                <w:szCs w:val="16"/>
                <w:highlight w:val="yellow"/>
              </w:rPr>
              <w:t>0.905</w:t>
            </w:r>
          </w:p>
        </w:tc>
        <w:tc>
          <w:tcPr>
            <w:tcW w:w="685" w:type="dxa"/>
            <w:tcBorders>
              <w:top w:val="nil"/>
              <w:left w:val="nil"/>
              <w:bottom w:val="single" w:sz="4" w:space="0" w:color="auto"/>
              <w:right w:val="single" w:sz="4" w:space="0" w:color="auto"/>
            </w:tcBorders>
            <w:shd w:val="clear" w:color="auto" w:fill="auto"/>
            <w:noWrap/>
            <w:vAlign w:val="center"/>
            <w:hideMark/>
          </w:tcPr>
          <w:p w14:paraId="7FD25A17" w14:textId="7777777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446695">
              <w:rPr>
                <w:rFonts w:ascii="Calibri" w:hAnsi="Calibri"/>
                <w:color w:val="000000"/>
                <w:sz w:val="16"/>
                <w:szCs w:val="16"/>
              </w:rPr>
              <w:t>1.045</w:t>
            </w:r>
          </w:p>
        </w:tc>
        <w:tc>
          <w:tcPr>
            <w:tcW w:w="600" w:type="dxa"/>
            <w:tcBorders>
              <w:top w:val="nil"/>
              <w:left w:val="nil"/>
              <w:bottom w:val="single" w:sz="4" w:space="0" w:color="auto"/>
              <w:right w:val="single" w:sz="4" w:space="0" w:color="auto"/>
            </w:tcBorders>
            <w:shd w:val="clear" w:color="auto" w:fill="auto"/>
            <w:noWrap/>
            <w:vAlign w:val="center"/>
            <w:hideMark/>
          </w:tcPr>
          <w:p w14:paraId="43D724A2" w14:textId="77777777" w:rsidR="00446695" w:rsidRPr="007266F2" w:rsidRDefault="00446695" w:rsidP="00446695">
            <w:pPr>
              <w:overflowPunct/>
              <w:autoSpaceDE/>
              <w:autoSpaceDN/>
              <w:adjustRightInd/>
              <w:spacing w:after="0"/>
              <w:jc w:val="center"/>
              <w:textAlignment w:val="auto"/>
              <w:rPr>
                <w:rFonts w:ascii="Calibri" w:hAnsi="Calibri"/>
                <w:color w:val="000000"/>
                <w:sz w:val="16"/>
                <w:szCs w:val="16"/>
              </w:rPr>
            </w:pPr>
            <w:r w:rsidRPr="007266F2">
              <w:rPr>
                <w:rFonts w:ascii="Calibri" w:hAnsi="Calibri"/>
                <w:color w:val="000000"/>
                <w:sz w:val="16"/>
                <w:szCs w:val="16"/>
                <w:highlight w:val="cyan"/>
              </w:rPr>
              <w:t>0.825</w:t>
            </w:r>
          </w:p>
        </w:tc>
        <w:tc>
          <w:tcPr>
            <w:tcW w:w="600" w:type="dxa"/>
            <w:tcBorders>
              <w:top w:val="nil"/>
              <w:left w:val="nil"/>
              <w:bottom w:val="single" w:sz="4" w:space="0" w:color="auto"/>
              <w:right w:val="single" w:sz="4" w:space="0" w:color="auto"/>
            </w:tcBorders>
            <w:shd w:val="clear" w:color="auto" w:fill="auto"/>
            <w:noWrap/>
            <w:vAlign w:val="center"/>
            <w:hideMark/>
          </w:tcPr>
          <w:p w14:paraId="2FA5337E" w14:textId="7777777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446695">
              <w:rPr>
                <w:rFonts w:ascii="Calibri" w:hAnsi="Calibri"/>
                <w:color w:val="000000"/>
                <w:sz w:val="16"/>
                <w:szCs w:val="16"/>
              </w:rPr>
              <w:t>0.965</w:t>
            </w:r>
          </w:p>
        </w:tc>
        <w:tc>
          <w:tcPr>
            <w:tcW w:w="600" w:type="dxa"/>
            <w:tcBorders>
              <w:top w:val="nil"/>
              <w:left w:val="nil"/>
              <w:bottom w:val="single" w:sz="4" w:space="0" w:color="auto"/>
              <w:right w:val="single" w:sz="4" w:space="0" w:color="auto"/>
            </w:tcBorders>
            <w:shd w:val="clear" w:color="auto" w:fill="auto"/>
            <w:noWrap/>
            <w:vAlign w:val="center"/>
            <w:hideMark/>
          </w:tcPr>
          <w:p w14:paraId="6FB53E0A" w14:textId="7777777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446695">
              <w:rPr>
                <w:rFonts w:ascii="Calibri" w:hAnsi="Calibri"/>
                <w:color w:val="000000"/>
                <w:sz w:val="16"/>
                <w:szCs w:val="16"/>
              </w:rPr>
              <w:t>0.925</w:t>
            </w:r>
          </w:p>
        </w:tc>
        <w:tc>
          <w:tcPr>
            <w:tcW w:w="600" w:type="dxa"/>
            <w:tcBorders>
              <w:top w:val="nil"/>
              <w:left w:val="nil"/>
              <w:bottom w:val="single" w:sz="4" w:space="0" w:color="auto"/>
              <w:right w:val="single" w:sz="4" w:space="0" w:color="auto"/>
            </w:tcBorders>
            <w:shd w:val="clear" w:color="auto" w:fill="auto"/>
            <w:noWrap/>
            <w:vAlign w:val="center"/>
            <w:hideMark/>
          </w:tcPr>
          <w:p w14:paraId="1719FA99" w14:textId="7777777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446695">
              <w:rPr>
                <w:rFonts w:ascii="Calibri" w:hAnsi="Calibri"/>
                <w:color w:val="000000"/>
                <w:sz w:val="16"/>
                <w:szCs w:val="16"/>
              </w:rPr>
              <w:t>0.885</w:t>
            </w:r>
          </w:p>
        </w:tc>
        <w:tc>
          <w:tcPr>
            <w:tcW w:w="603" w:type="dxa"/>
            <w:tcBorders>
              <w:top w:val="nil"/>
              <w:left w:val="nil"/>
              <w:bottom w:val="single" w:sz="4" w:space="0" w:color="auto"/>
              <w:right w:val="single" w:sz="4" w:space="0" w:color="auto"/>
            </w:tcBorders>
            <w:shd w:val="clear" w:color="auto" w:fill="auto"/>
            <w:noWrap/>
            <w:vAlign w:val="center"/>
            <w:hideMark/>
          </w:tcPr>
          <w:p w14:paraId="5AAF87E3" w14:textId="7777777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446695">
              <w:rPr>
                <w:rFonts w:ascii="Calibri" w:hAnsi="Calibri"/>
                <w:color w:val="000000"/>
                <w:sz w:val="16"/>
                <w:szCs w:val="16"/>
              </w:rPr>
              <w:t>0.845</w:t>
            </w:r>
          </w:p>
        </w:tc>
      </w:tr>
      <w:tr w:rsidR="00446695" w:rsidRPr="00446695" w14:paraId="5843587B" w14:textId="77777777" w:rsidTr="00446695">
        <w:trPr>
          <w:trHeight w:val="240"/>
        </w:trPr>
        <w:tc>
          <w:tcPr>
            <w:tcW w:w="735" w:type="dxa"/>
            <w:tcBorders>
              <w:top w:val="nil"/>
              <w:left w:val="single" w:sz="4" w:space="0" w:color="auto"/>
              <w:bottom w:val="single" w:sz="4" w:space="0" w:color="auto"/>
              <w:right w:val="single" w:sz="4" w:space="0" w:color="auto"/>
            </w:tcBorders>
            <w:shd w:val="clear" w:color="auto" w:fill="auto"/>
            <w:vAlign w:val="center"/>
            <w:hideMark/>
          </w:tcPr>
          <w:p w14:paraId="752FF441" w14:textId="77777777" w:rsidR="00446695" w:rsidRPr="00446695" w:rsidRDefault="00446695" w:rsidP="00446695">
            <w:pPr>
              <w:overflowPunct/>
              <w:autoSpaceDE/>
              <w:autoSpaceDN/>
              <w:adjustRightInd/>
              <w:spacing w:after="0"/>
              <w:jc w:val="center"/>
              <w:textAlignment w:val="auto"/>
              <w:rPr>
                <w:color w:val="000000"/>
                <w:sz w:val="18"/>
                <w:szCs w:val="18"/>
              </w:rPr>
            </w:pPr>
            <w:r w:rsidRPr="00446695">
              <w:rPr>
                <w:color w:val="000000"/>
                <w:sz w:val="18"/>
                <w:szCs w:val="18"/>
              </w:rPr>
              <w:t>60</w:t>
            </w:r>
          </w:p>
        </w:tc>
        <w:tc>
          <w:tcPr>
            <w:tcW w:w="742" w:type="dxa"/>
            <w:tcBorders>
              <w:top w:val="nil"/>
              <w:left w:val="nil"/>
              <w:bottom w:val="single" w:sz="4" w:space="0" w:color="auto"/>
              <w:right w:val="single" w:sz="4" w:space="0" w:color="auto"/>
            </w:tcBorders>
            <w:shd w:val="clear" w:color="auto" w:fill="auto"/>
            <w:noWrap/>
            <w:vAlign w:val="center"/>
            <w:hideMark/>
          </w:tcPr>
          <w:p w14:paraId="4BBA4B43" w14:textId="7777777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446695">
              <w:rPr>
                <w:rFonts w:ascii="Calibri" w:hAnsi="Calibri"/>
                <w:color w:val="000000"/>
                <w:sz w:val="16"/>
                <w:szCs w:val="16"/>
              </w:rPr>
              <w:t>NA</w:t>
            </w:r>
          </w:p>
        </w:tc>
        <w:tc>
          <w:tcPr>
            <w:tcW w:w="684" w:type="dxa"/>
            <w:tcBorders>
              <w:top w:val="nil"/>
              <w:left w:val="nil"/>
              <w:bottom w:val="single" w:sz="4" w:space="0" w:color="auto"/>
              <w:right w:val="single" w:sz="4" w:space="0" w:color="auto"/>
            </w:tcBorders>
            <w:shd w:val="clear" w:color="auto" w:fill="auto"/>
            <w:noWrap/>
            <w:vAlign w:val="center"/>
            <w:hideMark/>
          </w:tcPr>
          <w:p w14:paraId="44E627AD" w14:textId="7777777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446695">
              <w:rPr>
                <w:rFonts w:ascii="Calibri" w:hAnsi="Calibri"/>
                <w:color w:val="000000"/>
                <w:sz w:val="16"/>
                <w:szCs w:val="16"/>
              </w:rPr>
              <w:t>1.010</w:t>
            </w:r>
          </w:p>
        </w:tc>
        <w:tc>
          <w:tcPr>
            <w:tcW w:w="685" w:type="dxa"/>
            <w:tcBorders>
              <w:top w:val="nil"/>
              <w:left w:val="nil"/>
              <w:bottom w:val="single" w:sz="4" w:space="0" w:color="auto"/>
              <w:right w:val="single" w:sz="4" w:space="0" w:color="auto"/>
            </w:tcBorders>
            <w:shd w:val="clear" w:color="auto" w:fill="auto"/>
            <w:noWrap/>
            <w:vAlign w:val="center"/>
            <w:hideMark/>
          </w:tcPr>
          <w:p w14:paraId="4C8CE59F" w14:textId="7777777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446695">
              <w:rPr>
                <w:rFonts w:ascii="Calibri" w:hAnsi="Calibri"/>
                <w:color w:val="000000"/>
                <w:sz w:val="16"/>
                <w:szCs w:val="16"/>
              </w:rPr>
              <w:t>0.990</w:t>
            </w:r>
          </w:p>
        </w:tc>
        <w:tc>
          <w:tcPr>
            <w:tcW w:w="685" w:type="dxa"/>
            <w:tcBorders>
              <w:top w:val="nil"/>
              <w:left w:val="nil"/>
              <w:bottom w:val="single" w:sz="4" w:space="0" w:color="auto"/>
              <w:right w:val="single" w:sz="4" w:space="0" w:color="auto"/>
            </w:tcBorders>
            <w:shd w:val="clear" w:color="auto" w:fill="auto"/>
            <w:noWrap/>
            <w:vAlign w:val="center"/>
            <w:hideMark/>
          </w:tcPr>
          <w:p w14:paraId="5451F36E" w14:textId="7777777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446695">
              <w:rPr>
                <w:rFonts w:ascii="Calibri" w:hAnsi="Calibri"/>
                <w:color w:val="000000"/>
                <w:sz w:val="16"/>
                <w:szCs w:val="16"/>
              </w:rPr>
              <w:t>1.330</w:t>
            </w:r>
          </w:p>
        </w:tc>
        <w:tc>
          <w:tcPr>
            <w:tcW w:w="685" w:type="dxa"/>
            <w:tcBorders>
              <w:top w:val="nil"/>
              <w:left w:val="nil"/>
              <w:bottom w:val="single" w:sz="4" w:space="0" w:color="auto"/>
              <w:right w:val="single" w:sz="4" w:space="0" w:color="auto"/>
            </w:tcBorders>
            <w:shd w:val="clear" w:color="auto" w:fill="auto"/>
            <w:noWrap/>
            <w:vAlign w:val="center"/>
            <w:hideMark/>
          </w:tcPr>
          <w:p w14:paraId="66F4A7AA" w14:textId="77777777" w:rsidR="00446695" w:rsidRPr="000613D8" w:rsidRDefault="00446695" w:rsidP="00446695">
            <w:pPr>
              <w:overflowPunct/>
              <w:autoSpaceDE/>
              <w:autoSpaceDN/>
              <w:adjustRightInd/>
              <w:spacing w:after="0"/>
              <w:jc w:val="center"/>
              <w:textAlignment w:val="auto"/>
              <w:rPr>
                <w:rFonts w:ascii="Calibri" w:hAnsi="Calibri"/>
                <w:color w:val="000000"/>
                <w:sz w:val="16"/>
                <w:szCs w:val="16"/>
                <w:highlight w:val="red"/>
              </w:rPr>
            </w:pPr>
            <w:r w:rsidRPr="00CB084D">
              <w:rPr>
                <w:rFonts w:ascii="Calibri" w:hAnsi="Calibri"/>
                <w:color w:val="000000"/>
                <w:sz w:val="16"/>
                <w:szCs w:val="16"/>
                <w:highlight w:val="yellow"/>
              </w:rPr>
              <w:t>1.310</w:t>
            </w:r>
          </w:p>
        </w:tc>
        <w:tc>
          <w:tcPr>
            <w:tcW w:w="685" w:type="dxa"/>
            <w:tcBorders>
              <w:top w:val="nil"/>
              <w:left w:val="nil"/>
              <w:bottom w:val="single" w:sz="4" w:space="0" w:color="auto"/>
              <w:right w:val="single" w:sz="4" w:space="0" w:color="auto"/>
            </w:tcBorders>
            <w:shd w:val="clear" w:color="auto" w:fill="auto"/>
            <w:noWrap/>
            <w:vAlign w:val="center"/>
            <w:hideMark/>
          </w:tcPr>
          <w:p w14:paraId="52D10364" w14:textId="77777777" w:rsidR="00446695" w:rsidRPr="000613D8" w:rsidRDefault="00446695" w:rsidP="00446695">
            <w:pPr>
              <w:overflowPunct/>
              <w:autoSpaceDE/>
              <w:autoSpaceDN/>
              <w:adjustRightInd/>
              <w:spacing w:after="0"/>
              <w:jc w:val="center"/>
              <w:textAlignment w:val="auto"/>
              <w:rPr>
                <w:rFonts w:ascii="Calibri" w:hAnsi="Calibri"/>
                <w:color w:val="000000"/>
                <w:sz w:val="16"/>
                <w:szCs w:val="16"/>
                <w:highlight w:val="red"/>
              </w:rPr>
            </w:pPr>
            <w:r w:rsidRPr="00CB084D">
              <w:rPr>
                <w:rFonts w:ascii="Calibri" w:hAnsi="Calibri"/>
                <w:color w:val="000000"/>
                <w:sz w:val="16"/>
                <w:szCs w:val="16"/>
                <w:highlight w:val="yellow"/>
              </w:rPr>
              <w:t>1.290</w:t>
            </w:r>
          </w:p>
        </w:tc>
        <w:tc>
          <w:tcPr>
            <w:tcW w:w="685" w:type="dxa"/>
            <w:tcBorders>
              <w:top w:val="nil"/>
              <w:left w:val="nil"/>
              <w:bottom w:val="single" w:sz="4" w:space="0" w:color="auto"/>
              <w:right w:val="single" w:sz="4" w:space="0" w:color="auto"/>
            </w:tcBorders>
            <w:shd w:val="clear" w:color="auto" w:fill="auto"/>
            <w:noWrap/>
            <w:vAlign w:val="center"/>
            <w:hideMark/>
          </w:tcPr>
          <w:p w14:paraId="377BFCFA" w14:textId="77777777" w:rsidR="00446695" w:rsidRPr="000613D8" w:rsidRDefault="00446695" w:rsidP="00446695">
            <w:pPr>
              <w:overflowPunct/>
              <w:autoSpaceDE/>
              <w:autoSpaceDN/>
              <w:adjustRightInd/>
              <w:spacing w:after="0"/>
              <w:jc w:val="center"/>
              <w:textAlignment w:val="auto"/>
              <w:rPr>
                <w:rFonts w:ascii="Calibri" w:hAnsi="Calibri"/>
                <w:color w:val="000000"/>
                <w:sz w:val="16"/>
                <w:szCs w:val="16"/>
              </w:rPr>
            </w:pPr>
            <w:r w:rsidRPr="000613D8">
              <w:rPr>
                <w:rFonts w:ascii="Calibri" w:hAnsi="Calibri"/>
                <w:color w:val="000000"/>
                <w:sz w:val="16"/>
                <w:szCs w:val="16"/>
              </w:rPr>
              <w:t>1.610</w:t>
            </w:r>
          </w:p>
        </w:tc>
        <w:tc>
          <w:tcPr>
            <w:tcW w:w="685" w:type="dxa"/>
            <w:tcBorders>
              <w:top w:val="nil"/>
              <w:left w:val="nil"/>
              <w:bottom w:val="single" w:sz="4" w:space="0" w:color="auto"/>
              <w:right w:val="single" w:sz="4" w:space="0" w:color="auto"/>
            </w:tcBorders>
            <w:shd w:val="clear" w:color="auto" w:fill="auto"/>
            <w:noWrap/>
            <w:vAlign w:val="center"/>
            <w:hideMark/>
          </w:tcPr>
          <w:p w14:paraId="2AA4E102" w14:textId="7777777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446695">
              <w:rPr>
                <w:rFonts w:ascii="Calibri" w:hAnsi="Calibri"/>
                <w:color w:val="000000"/>
                <w:sz w:val="16"/>
                <w:szCs w:val="16"/>
              </w:rPr>
              <w:t>1.570</w:t>
            </w:r>
          </w:p>
        </w:tc>
        <w:tc>
          <w:tcPr>
            <w:tcW w:w="600" w:type="dxa"/>
            <w:tcBorders>
              <w:top w:val="nil"/>
              <w:left w:val="nil"/>
              <w:bottom w:val="single" w:sz="4" w:space="0" w:color="auto"/>
              <w:right w:val="single" w:sz="4" w:space="0" w:color="auto"/>
            </w:tcBorders>
            <w:shd w:val="clear" w:color="auto" w:fill="auto"/>
            <w:noWrap/>
            <w:vAlign w:val="center"/>
            <w:hideMark/>
          </w:tcPr>
          <w:p w14:paraId="1258C992" w14:textId="7777777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446695">
              <w:rPr>
                <w:rFonts w:ascii="Calibri" w:hAnsi="Calibri"/>
                <w:color w:val="000000"/>
                <w:sz w:val="16"/>
                <w:szCs w:val="16"/>
              </w:rPr>
              <w:t>1.530</w:t>
            </w:r>
          </w:p>
        </w:tc>
        <w:tc>
          <w:tcPr>
            <w:tcW w:w="600" w:type="dxa"/>
            <w:tcBorders>
              <w:top w:val="nil"/>
              <w:left w:val="nil"/>
              <w:bottom w:val="single" w:sz="4" w:space="0" w:color="auto"/>
              <w:right w:val="single" w:sz="4" w:space="0" w:color="auto"/>
            </w:tcBorders>
            <w:shd w:val="clear" w:color="auto" w:fill="auto"/>
            <w:noWrap/>
            <w:vAlign w:val="center"/>
            <w:hideMark/>
          </w:tcPr>
          <w:p w14:paraId="73399039" w14:textId="7777777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446695">
              <w:rPr>
                <w:rFonts w:ascii="Calibri" w:hAnsi="Calibri"/>
                <w:color w:val="000000"/>
                <w:sz w:val="16"/>
                <w:szCs w:val="16"/>
              </w:rPr>
              <w:t>1.490</w:t>
            </w:r>
          </w:p>
        </w:tc>
        <w:tc>
          <w:tcPr>
            <w:tcW w:w="600" w:type="dxa"/>
            <w:tcBorders>
              <w:top w:val="nil"/>
              <w:left w:val="nil"/>
              <w:bottom w:val="single" w:sz="4" w:space="0" w:color="auto"/>
              <w:right w:val="single" w:sz="4" w:space="0" w:color="auto"/>
            </w:tcBorders>
            <w:shd w:val="clear" w:color="auto" w:fill="auto"/>
            <w:noWrap/>
            <w:vAlign w:val="center"/>
            <w:hideMark/>
          </w:tcPr>
          <w:p w14:paraId="025EBEAA" w14:textId="7777777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446695">
              <w:rPr>
                <w:rFonts w:ascii="Calibri" w:hAnsi="Calibri"/>
                <w:color w:val="000000"/>
                <w:sz w:val="16"/>
                <w:szCs w:val="16"/>
              </w:rPr>
              <w:t>1.450</w:t>
            </w:r>
          </w:p>
        </w:tc>
        <w:tc>
          <w:tcPr>
            <w:tcW w:w="600" w:type="dxa"/>
            <w:tcBorders>
              <w:top w:val="nil"/>
              <w:left w:val="nil"/>
              <w:bottom w:val="single" w:sz="4" w:space="0" w:color="auto"/>
              <w:right w:val="single" w:sz="4" w:space="0" w:color="auto"/>
            </w:tcBorders>
            <w:shd w:val="clear" w:color="auto" w:fill="auto"/>
            <w:noWrap/>
            <w:vAlign w:val="center"/>
            <w:hideMark/>
          </w:tcPr>
          <w:p w14:paraId="07C53F3A" w14:textId="7777777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446695">
              <w:rPr>
                <w:rFonts w:ascii="Calibri" w:hAnsi="Calibri"/>
                <w:color w:val="000000"/>
                <w:sz w:val="16"/>
                <w:szCs w:val="16"/>
              </w:rPr>
              <w:t>1.410</w:t>
            </w:r>
          </w:p>
        </w:tc>
        <w:tc>
          <w:tcPr>
            <w:tcW w:w="603" w:type="dxa"/>
            <w:tcBorders>
              <w:top w:val="nil"/>
              <w:left w:val="nil"/>
              <w:bottom w:val="single" w:sz="4" w:space="0" w:color="auto"/>
              <w:right w:val="single" w:sz="4" w:space="0" w:color="auto"/>
            </w:tcBorders>
            <w:shd w:val="clear" w:color="auto" w:fill="auto"/>
            <w:noWrap/>
            <w:vAlign w:val="center"/>
            <w:hideMark/>
          </w:tcPr>
          <w:p w14:paraId="351741C8" w14:textId="77777777" w:rsidR="00446695" w:rsidRPr="00446695" w:rsidRDefault="00446695" w:rsidP="00446695">
            <w:pPr>
              <w:overflowPunct/>
              <w:autoSpaceDE/>
              <w:autoSpaceDN/>
              <w:adjustRightInd/>
              <w:spacing w:after="0"/>
              <w:jc w:val="center"/>
              <w:textAlignment w:val="auto"/>
              <w:rPr>
                <w:rFonts w:ascii="Calibri" w:hAnsi="Calibri"/>
                <w:color w:val="000000"/>
                <w:sz w:val="16"/>
                <w:szCs w:val="16"/>
              </w:rPr>
            </w:pPr>
            <w:r w:rsidRPr="00446695">
              <w:rPr>
                <w:rFonts w:ascii="Calibri" w:hAnsi="Calibri"/>
                <w:color w:val="000000"/>
                <w:sz w:val="16"/>
                <w:szCs w:val="16"/>
              </w:rPr>
              <w:t>1.370</w:t>
            </w:r>
          </w:p>
        </w:tc>
      </w:tr>
    </w:tbl>
    <w:p w14:paraId="1525BCF4" w14:textId="77777777" w:rsidR="00446695" w:rsidRDefault="00446695" w:rsidP="00446695">
      <w:pPr>
        <w:spacing w:after="0"/>
        <w:jc w:val="both"/>
      </w:pPr>
    </w:p>
    <w:p w14:paraId="06BA788B" w14:textId="113312A3" w:rsidR="000613D8" w:rsidRDefault="000613D8" w:rsidP="00446695">
      <w:pPr>
        <w:spacing w:after="0"/>
        <w:jc w:val="both"/>
      </w:pPr>
      <w:r>
        <w:t>Given the observations above</w:t>
      </w:r>
      <w:r w:rsidR="009E13D0">
        <w:t>,</w:t>
      </w:r>
      <w:r>
        <w:t xml:space="preserve"> there is no </w:t>
      </w:r>
      <w:r w:rsidR="00CB084D">
        <w:t xml:space="preserve">technically sound </w:t>
      </w:r>
      <w:r>
        <w:t>way to determine SU for new channel bandwidth based on a formula using the current SU or guard bands. For example</w:t>
      </w:r>
      <w:r w:rsidR="009E13D0">
        <w:t>,</w:t>
      </w:r>
      <w:r>
        <w:t xml:space="preserve"> it is not clear that we can use 70</w:t>
      </w:r>
      <w:r w:rsidR="009E13D0">
        <w:t xml:space="preserve"> </w:t>
      </w:r>
      <w:proofErr w:type="gramStart"/>
      <w:r>
        <w:t>MHz</w:t>
      </w:r>
      <w:r w:rsidR="009E13D0">
        <w:t xml:space="preserve"> </w:t>
      </w:r>
      <w:r>
        <w:t>/</w:t>
      </w:r>
      <w:proofErr w:type="gramEnd"/>
      <w:r w:rsidR="009E13D0">
        <w:t xml:space="preserve"> </w:t>
      </w:r>
      <w:r>
        <w:t>30</w:t>
      </w:r>
      <w:r w:rsidR="009E13D0">
        <w:t xml:space="preserve"> </w:t>
      </w:r>
      <w:r>
        <w:t>kHz SU for 35</w:t>
      </w:r>
      <w:r w:rsidR="009E13D0">
        <w:t xml:space="preserve"> </w:t>
      </w:r>
      <w:r>
        <w:t>MHz</w:t>
      </w:r>
      <w:r w:rsidR="009E13D0">
        <w:t xml:space="preserve"> </w:t>
      </w:r>
      <w:r>
        <w:t>/</w:t>
      </w:r>
      <w:r w:rsidR="009E13D0">
        <w:t xml:space="preserve"> </w:t>
      </w:r>
      <w:r>
        <w:t>15</w:t>
      </w:r>
      <w:r w:rsidR="009E13D0">
        <w:t xml:space="preserve"> </w:t>
      </w:r>
      <w:r>
        <w:t>kHz SU.</w:t>
      </w:r>
    </w:p>
    <w:p w14:paraId="42BDF4F8" w14:textId="77777777" w:rsidR="00E22013" w:rsidRDefault="00E22013" w:rsidP="00446695">
      <w:pPr>
        <w:spacing w:after="0"/>
        <w:jc w:val="both"/>
      </w:pPr>
    </w:p>
    <w:p w14:paraId="0C6B9727" w14:textId="1F3CC92A" w:rsidR="00E22013" w:rsidRDefault="00E22013" w:rsidP="00446695">
      <w:pPr>
        <w:spacing w:after="0"/>
        <w:jc w:val="both"/>
      </w:pPr>
      <w:r>
        <w:t>To try a more empirical approach</w:t>
      </w:r>
      <w:r w:rsidR="009E13D0">
        <w:t>,</w:t>
      </w:r>
      <w:r>
        <w:t xml:space="preserve"> a line</w:t>
      </w:r>
      <w:r w:rsidR="009E13D0">
        <w:t>a</w:t>
      </w:r>
      <w:r>
        <w:t>r fit of SU is shown in Figure 1 with associated coefficients for the linear curve.</w:t>
      </w:r>
    </w:p>
    <w:p w14:paraId="4A50BED3" w14:textId="77777777" w:rsidR="00E22013" w:rsidRDefault="00E22013" w:rsidP="00446695">
      <w:pPr>
        <w:spacing w:after="0"/>
        <w:jc w:val="both"/>
      </w:pPr>
    </w:p>
    <w:p w14:paraId="46C9B9CA" w14:textId="77777777" w:rsidR="00E22013" w:rsidRDefault="00E22013" w:rsidP="00E22013">
      <w:pPr>
        <w:keepNext/>
        <w:spacing w:after="0"/>
        <w:jc w:val="center"/>
      </w:pPr>
      <w:r>
        <w:rPr>
          <w:noProof/>
        </w:rPr>
        <w:drawing>
          <wp:inline distT="0" distB="0" distL="0" distR="0" wp14:anchorId="4D66CFFC" wp14:editId="552B628C">
            <wp:extent cx="4316095" cy="290195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6095" cy="2901950"/>
                    </a:xfrm>
                    <a:prstGeom prst="rect">
                      <a:avLst/>
                    </a:prstGeom>
                    <a:noFill/>
                  </pic:spPr>
                </pic:pic>
              </a:graphicData>
            </a:graphic>
          </wp:inline>
        </w:drawing>
      </w:r>
    </w:p>
    <w:p w14:paraId="16B58B62" w14:textId="6BFC6284" w:rsidR="00E22013" w:rsidRDefault="00E22013" w:rsidP="003D5A21">
      <w:pPr>
        <w:pStyle w:val="Caption"/>
        <w:spacing w:before="0"/>
        <w:jc w:val="center"/>
      </w:pPr>
      <w:r>
        <w:t xml:space="preserve">Figure </w:t>
      </w:r>
      <w:r w:rsidR="004863B3">
        <w:fldChar w:fldCharType="begin"/>
      </w:r>
      <w:r w:rsidR="004863B3">
        <w:instrText xml:space="preserve"> SEQ Figure \* ARABIC </w:instrText>
      </w:r>
      <w:r w:rsidR="004863B3">
        <w:fldChar w:fldCharType="separate"/>
      </w:r>
      <w:r>
        <w:rPr>
          <w:noProof/>
        </w:rPr>
        <w:t>1</w:t>
      </w:r>
      <w:r w:rsidR="004863B3">
        <w:rPr>
          <w:noProof/>
        </w:rPr>
        <w:fldChar w:fldCharType="end"/>
      </w:r>
      <w:r>
        <w:t>: 15, 30, 60 kHz SCS SU v</w:t>
      </w:r>
      <w:r w:rsidR="003D5A21">
        <w:t>ersu</w:t>
      </w:r>
      <w:r>
        <w:t>s channel bandwidth and linear fit curves</w:t>
      </w:r>
    </w:p>
    <w:p w14:paraId="5796F78B" w14:textId="79FE04A1" w:rsidR="00E22013" w:rsidRDefault="00E22013" w:rsidP="00CB084D">
      <w:pPr>
        <w:jc w:val="both"/>
      </w:pPr>
      <w:r>
        <w:t>At a first glance</w:t>
      </w:r>
      <w:r w:rsidR="009E13D0">
        <w:t>,</w:t>
      </w:r>
      <w:r>
        <w:t xml:space="preserve"> the linear fit seems very good but in Table </w:t>
      </w:r>
      <w:r w:rsidR="00B75AE3">
        <w:t>4</w:t>
      </w:r>
      <w:r>
        <w:t xml:space="preserve"> we show the residual error for the existing SU</w:t>
      </w:r>
      <w:r w:rsidR="00B75AE3">
        <w:t xml:space="preserve"> using linear fit coefficients in Table 3</w:t>
      </w:r>
      <w:r>
        <w:t>.</w:t>
      </w:r>
      <w:r w:rsidR="003D5A21">
        <w:t xml:space="preserve"> In green the fit is perfect; in yellow the fit is pessimistic by 1 RB while in orange the fit is optimistic by one RB.</w:t>
      </w:r>
    </w:p>
    <w:p w14:paraId="3213681F" w14:textId="246314F4" w:rsidR="00B75AE3" w:rsidRDefault="00B75AE3" w:rsidP="00B75AE3">
      <w:pPr>
        <w:pStyle w:val="Caption"/>
        <w:keepNext/>
        <w:spacing w:after="0"/>
        <w:jc w:val="center"/>
      </w:pPr>
      <w:r>
        <w:t xml:space="preserve">Table </w:t>
      </w:r>
      <w:r w:rsidR="004863B3">
        <w:fldChar w:fldCharType="begin"/>
      </w:r>
      <w:r w:rsidR="004863B3">
        <w:instrText xml:space="preserve"> SEQ Table \* ARABIC </w:instrText>
      </w:r>
      <w:r w:rsidR="004863B3">
        <w:fldChar w:fldCharType="separate"/>
      </w:r>
      <w:r w:rsidR="00AB5442">
        <w:rPr>
          <w:noProof/>
        </w:rPr>
        <w:t>3</w:t>
      </w:r>
      <w:r w:rsidR="004863B3">
        <w:rPr>
          <w:noProof/>
        </w:rPr>
        <w:fldChar w:fldCharType="end"/>
      </w:r>
      <w:r>
        <w:t xml:space="preserve">: </w:t>
      </w:r>
      <w:r w:rsidR="00F63D36">
        <w:t>L</w:t>
      </w:r>
      <w:r>
        <w:t>inear fit coefficients for SU</w:t>
      </w:r>
    </w:p>
    <w:tbl>
      <w:tblPr>
        <w:tblW w:w="3874" w:type="dxa"/>
        <w:jc w:val="center"/>
        <w:tblInd w:w="93" w:type="dxa"/>
        <w:tblLook w:val="04A0" w:firstRow="1" w:lastRow="0" w:firstColumn="1" w:lastColumn="0" w:noHBand="0" w:noVBand="1"/>
      </w:tblPr>
      <w:tblGrid>
        <w:gridCol w:w="1069"/>
        <w:gridCol w:w="935"/>
        <w:gridCol w:w="935"/>
        <w:gridCol w:w="935"/>
      </w:tblGrid>
      <w:tr w:rsidR="00B75AE3" w:rsidRPr="00B75AE3" w14:paraId="1765CA4F" w14:textId="77777777" w:rsidTr="00F63D36">
        <w:trPr>
          <w:trHeight w:val="288"/>
          <w:jc w:val="center"/>
        </w:trPr>
        <w:tc>
          <w:tcPr>
            <w:tcW w:w="10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232D88" w14:textId="77777777" w:rsidR="00B75AE3" w:rsidRPr="00B75AE3" w:rsidRDefault="00B75AE3" w:rsidP="00B75AE3">
            <w:pPr>
              <w:overflowPunct/>
              <w:autoSpaceDE/>
              <w:autoSpaceDN/>
              <w:adjustRightInd/>
              <w:spacing w:after="0"/>
              <w:textAlignment w:val="auto"/>
              <w:rPr>
                <w:rFonts w:ascii="Calibri" w:hAnsi="Calibri"/>
                <w:color w:val="000000"/>
              </w:rPr>
            </w:pPr>
            <w:r w:rsidRPr="00B75AE3">
              <w:rPr>
                <w:rFonts w:ascii="Calibri" w:hAnsi="Calibri"/>
                <w:color w:val="000000"/>
              </w:rPr>
              <w:t>SCS [kHz]</w:t>
            </w:r>
          </w:p>
        </w:tc>
        <w:tc>
          <w:tcPr>
            <w:tcW w:w="935" w:type="dxa"/>
            <w:tcBorders>
              <w:top w:val="single" w:sz="4" w:space="0" w:color="auto"/>
              <w:left w:val="nil"/>
              <w:bottom w:val="single" w:sz="4" w:space="0" w:color="auto"/>
              <w:right w:val="single" w:sz="4" w:space="0" w:color="auto"/>
            </w:tcBorders>
            <w:shd w:val="clear" w:color="auto" w:fill="auto"/>
            <w:noWrap/>
            <w:vAlign w:val="bottom"/>
            <w:hideMark/>
          </w:tcPr>
          <w:p w14:paraId="14968EDA" w14:textId="77777777" w:rsidR="00B75AE3" w:rsidRPr="00B75AE3" w:rsidRDefault="00B75AE3" w:rsidP="00B75AE3">
            <w:pPr>
              <w:overflowPunct/>
              <w:autoSpaceDE/>
              <w:autoSpaceDN/>
              <w:adjustRightInd/>
              <w:spacing w:after="0"/>
              <w:jc w:val="center"/>
              <w:textAlignment w:val="auto"/>
              <w:rPr>
                <w:rFonts w:ascii="Calibri" w:hAnsi="Calibri"/>
                <w:color w:val="000000"/>
              </w:rPr>
            </w:pPr>
            <w:r w:rsidRPr="00B75AE3">
              <w:rPr>
                <w:rFonts w:ascii="Calibri" w:hAnsi="Calibri"/>
                <w:color w:val="000000"/>
              </w:rPr>
              <w:t>15</w:t>
            </w:r>
          </w:p>
        </w:tc>
        <w:tc>
          <w:tcPr>
            <w:tcW w:w="935" w:type="dxa"/>
            <w:tcBorders>
              <w:top w:val="single" w:sz="4" w:space="0" w:color="auto"/>
              <w:left w:val="nil"/>
              <w:bottom w:val="single" w:sz="4" w:space="0" w:color="auto"/>
              <w:right w:val="single" w:sz="4" w:space="0" w:color="auto"/>
            </w:tcBorders>
            <w:shd w:val="clear" w:color="auto" w:fill="auto"/>
            <w:noWrap/>
            <w:vAlign w:val="bottom"/>
            <w:hideMark/>
          </w:tcPr>
          <w:p w14:paraId="6EF30FDE" w14:textId="77777777" w:rsidR="00B75AE3" w:rsidRPr="00B75AE3" w:rsidRDefault="00B75AE3" w:rsidP="00B75AE3">
            <w:pPr>
              <w:overflowPunct/>
              <w:autoSpaceDE/>
              <w:autoSpaceDN/>
              <w:adjustRightInd/>
              <w:spacing w:after="0"/>
              <w:jc w:val="center"/>
              <w:textAlignment w:val="auto"/>
              <w:rPr>
                <w:rFonts w:ascii="Calibri" w:hAnsi="Calibri"/>
                <w:color w:val="000000"/>
              </w:rPr>
            </w:pPr>
            <w:r w:rsidRPr="00B75AE3">
              <w:rPr>
                <w:rFonts w:ascii="Calibri" w:hAnsi="Calibri"/>
                <w:color w:val="000000"/>
              </w:rPr>
              <w:t>30</w:t>
            </w:r>
          </w:p>
        </w:tc>
        <w:tc>
          <w:tcPr>
            <w:tcW w:w="935" w:type="dxa"/>
            <w:tcBorders>
              <w:top w:val="single" w:sz="4" w:space="0" w:color="auto"/>
              <w:left w:val="nil"/>
              <w:bottom w:val="single" w:sz="4" w:space="0" w:color="auto"/>
              <w:right w:val="single" w:sz="4" w:space="0" w:color="auto"/>
            </w:tcBorders>
            <w:shd w:val="clear" w:color="auto" w:fill="auto"/>
            <w:noWrap/>
            <w:vAlign w:val="bottom"/>
            <w:hideMark/>
          </w:tcPr>
          <w:p w14:paraId="7DB4AD35" w14:textId="77777777" w:rsidR="00B75AE3" w:rsidRPr="00B75AE3" w:rsidRDefault="00B75AE3" w:rsidP="00B75AE3">
            <w:pPr>
              <w:overflowPunct/>
              <w:autoSpaceDE/>
              <w:autoSpaceDN/>
              <w:adjustRightInd/>
              <w:spacing w:after="0"/>
              <w:jc w:val="center"/>
              <w:textAlignment w:val="auto"/>
              <w:rPr>
                <w:rFonts w:ascii="Calibri" w:hAnsi="Calibri"/>
                <w:color w:val="000000"/>
              </w:rPr>
            </w:pPr>
            <w:r w:rsidRPr="00B75AE3">
              <w:rPr>
                <w:rFonts w:ascii="Calibri" w:hAnsi="Calibri"/>
                <w:color w:val="000000"/>
              </w:rPr>
              <w:t>60</w:t>
            </w:r>
          </w:p>
        </w:tc>
      </w:tr>
      <w:tr w:rsidR="00EB669D" w:rsidRPr="00B75AE3" w14:paraId="0DA0A0E1" w14:textId="77777777" w:rsidTr="00F63D36">
        <w:trPr>
          <w:trHeight w:val="288"/>
          <w:jc w:val="center"/>
        </w:trPr>
        <w:tc>
          <w:tcPr>
            <w:tcW w:w="1069" w:type="dxa"/>
            <w:tcBorders>
              <w:top w:val="nil"/>
              <w:left w:val="single" w:sz="4" w:space="0" w:color="auto"/>
              <w:bottom w:val="single" w:sz="4" w:space="0" w:color="auto"/>
              <w:right w:val="single" w:sz="4" w:space="0" w:color="auto"/>
            </w:tcBorders>
            <w:shd w:val="clear" w:color="auto" w:fill="auto"/>
            <w:noWrap/>
            <w:vAlign w:val="bottom"/>
            <w:hideMark/>
          </w:tcPr>
          <w:p w14:paraId="370EFC83" w14:textId="77777777" w:rsidR="00EB669D" w:rsidRPr="00B75AE3" w:rsidRDefault="00EB669D" w:rsidP="00B75AE3">
            <w:pPr>
              <w:overflowPunct/>
              <w:autoSpaceDE/>
              <w:autoSpaceDN/>
              <w:adjustRightInd/>
              <w:spacing w:after="0"/>
              <w:textAlignment w:val="auto"/>
              <w:rPr>
                <w:rFonts w:ascii="Calibri" w:hAnsi="Calibri"/>
                <w:color w:val="000000"/>
              </w:rPr>
            </w:pPr>
            <w:r w:rsidRPr="00B75AE3">
              <w:rPr>
                <w:rFonts w:ascii="Calibri" w:hAnsi="Calibri"/>
                <w:color w:val="000000"/>
              </w:rPr>
              <w:t>A1</w:t>
            </w:r>
          </w:p>
        </w:tc>
        <w:tc>
          <w:tcPr>
            <w:tcW w:w="935" w:type="dxa"/>
            <w:tcBorders>
              <w:top w:val="nil"/>
              <w:left w:val="nil"/>
              <w:bottom w:val="single" w:sz="4" w:space="0" w:color="auto"/>
              <w:right w:val="single" w:sz="4" w:space="0" w:color="auto"/>
            </w:tcBorders>
            <w:shd w:val="clear" w:color="auto" w:fill="auto"/>
            <w:noWrap/>
            <w:vAlign w:val="bottom"/>
            <w:hideMark/>
          </w:tcPr>
          <w:p w14:paraId="54F9EFD3" w14:textId="4CC2618E" w:rsidR="00EB669D" w:rsidRPr="00B75AE3" w:rsidRDefault="00EB669D" w:rsidP="00B75AE3">
            <w:pPr>
              <w:overflowPunct/>
              <w:autoSpaceDE/>
              <w:autoSpaceDN/>
              <w:adjustRightInd/>
              <w:spacing w:after="0"/>
              <w:jc w:val="center"/>
              <w:textAlignment w:val="auto"/>
              <w:rPr>
                <w:rFonts w:ascii="Calibri" w:hAnsi="Calibri"/>
                <w:color w:val="000000"/>
              </w:rPr>
            </w:pPr>
            <w:r w:rsidRPr="00F63D36">
              <w:rPr>
                <w:rFonts w:ascii="Calibri" w:hAnsi="Calibri"/>
                <w:color w:val="000000"/>
              </w:rPr>
              <w:t>5.4509</w:t>
            </w:r>
          </w:p>
        </w:tc>
        <w:tc>
          <w:tcPr>
            <w:tcW w:w="935" w:type="dxa"/>
            <w:tcBorders>
              <w:top w:val="nil"/>
              <w:left w:val="nil"/>
              <w:bottom w:val="single" w:sz="4" w:space="0" w:color="auto"/>
              <w:right w:val="single" w:sz="4" w:space="0" w:color="auto"/>
            </w:tcBorders>
            <w:shd w:val="clear" w:color="auto" w:fill="auto"/>
            <w:noWrap/>
            <w:vAlign w:val="bottom"/>
            <w:hideMark/>
          </w:tcPr>
          <w:p w14:paraId="13726160" w14:textId="2DC6A036" w:rsidR="00EB669D" w:rsidRPr="00B75AE3" w:rsidRDefault="00EB669D" w:rsidP="00B75AE3">
            <w:pPr>
              <w:overflowPunct/>
              <w:autoSpaceDE/>
              <w:autoSpaceDN/>
              <w:adjustRightInd/>
              <w:spacing w:after="0"/>
              <w:jc w:val="center"/>
              <w:textAlignment w:val="auto"/>
              <w:rPr>
                <w:rFonts w:ascii="Calibri" w:hAnsi="Calibri"/>
                <w:color w:val="000000"/>
              </w:rPr>
            </w:pPr>
            <w:r w:rsidRPr="00F63D36">
              <w:rPr>
                <w:rFonts w:ascii="Calibri" w:hAnsi="Calibri"/>
                <w:color w:val="000000"/>
              </w:rPr>
              <w:t>2.7619</w:t>
            </w:r>
          </w:p>
        </w:tc>
        <w:tc>
          <w:tcPr>
            <w:tcW w:w="935" w:type="dxa"/>
            <w:tcBorders>
              <w:top w:val="nil"/>
              <w:left w:val="nil"/>
              <w:bottom w:val="single" w:sz="4" w:space="0" w:color="auto"/>
              <w:right w:val="single" w:sz="4" w:space="0" w:color="auto"/>
            </w:tcBorders>
            <w:shd w:val="clear" w:color="auto" w:fill="auto"/>
            <w:noWrap/>
            <w:vAlign w:val="bottom"/>
            <w:hideMark/>
          </w:tcPr>
          <w:p w14:paraId="260E4CAF" w14:textId="7D9FE034" w:rsidR="00EB669D" w:rsidRPr="00B75AE3" w:rsidRDefault="00EB669D" w:rsidP="00B75AE3">
            <w:pPr>
              <w:overflowPunct/>
              <w:autoSpaceDE/>
              <w:autoSpaceDN/>
              <w:adjustRightInd/>
              <w:spacing w:after="0"/>
              <w:jc w:val="center"/>
              <w:textAlignment w:val="auto"/>
              <w:rPr>
                <w:rFonts w:ascii="Calibri" w:hAnsi="Calibri"/>
                <w:color w:val="000000"/>
              </w:rPr>
            </w:pPr>
            <w:r w:rsidRPr="00F63D36">
              <w:rPr>
                <w:rFonts w:ascii="Calibri" w:hAnsi="Calibri"/>
                <w:color w:val="000000"/>
              </w:rPr>
              <w:t>1.3788</w:t>
            </w:r>
          </w:p>
        </w:tc>
      </w:tr>
      <w:tr w:rsidR="00EB669D" w:rsidRPr="00B75AE3" w14:paraId="427D7E4A" w14:textId="77777777" w:rsidTr="00471B0B">
        <w:trPr>
          <w:trHeight w:val="288"/>
          <w:jc w:val="center"/>
        </w:trPr>
        <w:tc>
          <w:tcPr>
            <w:tcW w:w="1069" w:type="dxa"/>
            <w:tcBorders>
              <w:top w:val="nil"/>
              <w:left w:val="single" w:sz="4" w:space="0" w:color="auto"/>
              <w:bottom w:val="single" w:sz="4" w:space="0" w:color="auto"/>
              <w:right w:val="single" w:sz="4" w:space="0" w:color="auto"/>
            </w:tcBorders>
            <w:shd w:val="clear" w:color="auto" w:fill="auto"/>
            <w:noWrap/>
            <w:vAlign w:val="bottom"/>
            <w:hideMark/>
          </w:tcPr>
          <w:p w14:paraId="6648A044" w14:textId="77777777" w:rsidR="00EB669D" w:rsidRPr="00B75AE3" w:rsidRDefault="00EB669D" w:rsidP="00B75AE3">
            <w:pPr>
              <w:overflowPunct/>
              <w:autoSpaceDE/>
              <w:autoSpaceDN/>
              <w:adjustRightInd/>
              <w:spacing w:after="0"/>
              <w:textAlignment w:val="auto"/>
              <w:rPr>
                <w:rFonts w:ascii="Calibri" w:hAnsi="Calibri"/>
                <w:color w:val="000000"/>
              </w:rPr>
            </w:pPr>
            <w:r w:rsidRPr="00B75AE3">
              <w:rPr>
                <w:rFonts w:ascii="Calibri" w:hAnsi="Calibri"/>
                <w:color w:val="000000"/>
              </w:rPr>
              <w:t>A0</w:t>
            </w:r>
          </w:p>
        </w:tc>
        <w:tc>
          <w:tcPr>
            <w:tcW w:w="935" w:type="dxa"/>
            <w:tcBorders>
              <w:top w:val="nil"/>
              <w:left w:val="nil"/>
              <w:bottom w:val="single" w:sz="4" w:space="0" w:color="auto"/>
              <w:right w:val="single" w:sz="4" w:space="0" w:color="auto"/>
            </w:tcBorders>
            <w:shd w:val="clear" w:color="auto" w:fill="auto"/>
            <w:noWrap/>
            <w:vAlign w:val="bottom"/>
            <w:hideMark/>
          </w:tcPr>
          <w:p w14:paraId="0B394A51" w14:textId="54BAD177" w:rsidR="00EB669D" w:rsidRPr="00B75AE3" w:rsidRDefault="00EB669D" w:rsidP="00B75AE3">
            <w:pPr>
              <w:overflowPunct/>
              <w:autoSpaceDE/>
              <w:autoSpaceDN/>
              <w:adjustRightInd/>
              <w:spacing w:after="0"/>
              <w:jc w:val="center"/>
              <w:textAlignment w:val="auto"/>
              <w:rPr>
                <w:rFonts w:ascii="Calibri" w:hAnsi="Calibri"/>
                <w:color w:val="000000"/>
              </w:rPr>
            </w:pPr>
            <w:r w:rsidRPr="00F63D36">
              <w:rPr>
                <w:rFonts w:ascii="Calibri" w:hAnsi="Calibri"/>
                <w:color w:val="000000"/>
              </w:rPr>
              <w:t>-2.7399</w:t>
            </w:r>
          </w:p>
        </w:tc>
        <w:tc>
          <w:tcPr>
            <w:tcW w:w="935" w:type="dxa"/>
            <w:tcBorders>
              <w:top w:val="nil"/>
              <w:left w:val="nil"/>
              <w:bottom w:val="single" w:sz="4" w:space="0" w:color="auto"/>
              <w:right w:val="single" w:sz="4" w:space="0" w:color="auto"/>
            </w:tcBorders>
            <w:shd w:val="clear" w:color="auto" w:fill="auto"/>
            <w:noWrap/>
            <w:vAlign w:val="bottom"/>
            <w:hideMark/>
          </w:tcPr>
          <w:p w14:paraId="2FE4B156" w14:textId="65D6A873" w:rsidR="00EB669D" w:rsidRPr="00B75AE3" w:rsidRDefault="00EB669D" w:rsidP="00B75AE3">
            <w:pPr>
              <w:overflowPunct/>
              <w:autoSpaceDE/>
              <w:autoSpaceDN/>
              <w:adjustRightInd/>
              <w:spacing w:after="0"/>
              <w:jc w:val="center"/>
              <w:textAlignment w:val="auto"/>
              <w:rPr>
                <w:rFonts w:ascii="Calibri" w:hAnsi="Calibri"/>
                <w:color w:val="000000"/>
              </w:rPr>
            </w:pPr>
            <w:r w:rsidRPr="00F63D36">
              <w:rPr>
                <w:rFonts w:ascii="Calibri" w:hAnsi="Calibri"/>
                <w:color w:val="000000"/>
              </w:rPr>
              <w:t>-3.9468</w:t>
            </w:r>
          </w:p>
        </w:tc>
        <w:tc>
          <w:tcPr>
            <w:tcW w:w="935" w:type="dxa"/>
            <w:tcBorders>
              <w:top w:val="nil"/>
              <w:left w:val="nil"/>
              <w:bottom w:val="single" w:sz="4" w:space="0" w:color="auto"/>
              <w:right w:val="single" w:sz="4" w:space="0" w:color="auto"/>
            </w:tcBorders>
            <w:shd w:val="clear" w:color="auto" w:fill="auto"/>
            <w:noWrap/>
            <w:vAlign w:val="bottom"/>
            <w:hideMark/>
          </w:tcPr>
          <w:p w14:paraId="7373F4A6" w14:textId="36E1241E" w:rsidR="00EB669D" w:rsidRPr="00B75AE3" w:rsidRDefault="00EB669D" w:rsidP="00B75AE3">
            <w:pPr>
              <w:overflowPunct/>
              <w:autoSpaceDE/>
              <w:autoSpaceDN/>
              <w:adjustRightInd/>
              <w:spacing w:after="0"/>
              <w:jc w:val="center"/>
              <w:textAlignment w:val="auto"/>
              <w:rPr>
                <w:rFonts w:ascii="Calibri" w:hAnsi="Calibri"/>
                <w:color w:val="000000"/>
              </w:rPr>
            </w:pPr>
            <w:r w:rsidRPr="00F63D36">
              <w:rPr>
                <w:rFonts w:ascii="Calibri" w:hAnsi="Calibri"/>
                <w:color w:val="000000"/>
              </w:rPr>
              <w:t>-3.3747</w:t>
            </w:r>
          </w:p>
        </w:tc>
      </w:tr>
    </w:tbl>
    <w:p w14:paraId="51CED205" w14:textId="77777777" w:rsidR="00B75AE3" w:rsidRDefault="00B75AE3" w:rsidP="00B75AE3">
      <w:pPr>
        <w:spacing w:after="0"/>
      </w:pPr>
    </w:p>
    <w:p w14:paraId="4D745FEA" w14:textId="10F0410E" w:rsidR="003D5A21" w:rsidRDefault="003D5A21" w:rsidP="003D5A21">
      <w:pPr>
        <w:pStyle w:val="Caption"/>
        <w:keepNext/>
        <w:spacing w:after="0"/>
        <w:jc w:val="center"/>
      </w:pPr>
      <w:r>
        <w:t xml:space="preserve">Table </w:t>
      </w:r>
      <w:r w:rsidR="004863B3">
        <w:fldChar w:fldCharType="begin"/>
      </w:r>
      <w:r w:rsidR="004863B3">
        <w:instrText xml:space="preserve"> SEQ Table \* ARABIC </w:instrText>
      </w:r>
      <w:r w:rsidR="004863B3">
        <w:fldChar w:fldCharType="separate"/>
      </w:r>
      <w:r w:rsidR="00AB5442">
        <w:rPr>
          <w:noProof/>
        </w:rPr>
        <w:t>4</w:t>
      </w:r>
      <w:r w:rsidR="004863B3">
        <w:rPr>
          <w:noProof/>
        </w:rPr>
        <w:fldChar w:fldCharType="end"/>
      </w:r>
      <w:r>
        <w:t>: Comparison of specified SU versus its linear fit</w:t>
      </w:r>
    </w:p>
    <w:tbl>
      <w:tblPr>
        <w:tblW w:w="6555" w:type="dxa"/>
        <w:jc w:val="center"/>
        <w:tblInd w:w="-252" w:type="dxa"/>
        <w:tblLook w:val="04A0" w:firstRow="1" w:lastRow="0" w:firstColumn="1" w:lastColumn="0" w:noHBand="0" w:noVBand="1"/>
      </w:tblPr>
      <w:tblGrid>
        <w:gridCol w:w="1238"/>
        <w:gridCol w:w="620"/>
        <w:gridCol w:w="620"/>
        <w:gridCol w:w="620"/>
        <w:gridCol w:w="620"/>
        <w:gridCol w:w="620"/>
        <w:gridCol w:w="620"/>
        <w:gridCol w:w="559"/>
        <w:gridCol w:w="519"/>
        <w:gridCol w:w="14"/>
        <w:gridCol w:w="508"/>
      </w:tblGrid>
      <w:tr w:rsidR="00B75AE3" w:rsidRPr="003D5A21" w14:paraId="365B5F56" w14:textId="77777777" w:rsidTr="00F63D36">
        <w:trPr>
          <w:trHeight w:val="264"/>
          <w:jc w:val="center"/>
        </w:trPr>
        <w:tc>
          <w:tcPr>
            <w:tcW w:w="12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F0BB2F" w14:textId="77777777" w:rsidR="003D5A21" w:rsidRPr="003D5A21" w:rsidRDefault="003D5A21" w:rsidP="003D5A21">
            <w:pPr>
              <w:overflowPunct/>
              <w:autoSpaceDE/>
              <w:autoSpaceDN/>
              <w:adjustRightInd/>
              <w:spacing w:after="0"/>
              <w:textAlignment w:val="auto"/>
              <w:rPr>
                <w:rFonts w:asciiTheme="minorHAnsi" w:hAnsiTheme="minorHAnsi"/>
                <w:color w:val="000000"/>
              </w:rPr>
            </w:pPr>
            <w:r w:rsidRPr="003D5A21">
              <w:rPr>
                <w:rFonts w:asciiTheme="minorHAnsi" w:hAnsiTheme="minorHAnsi"/>
                <w:color w:val="000000"/>
              </w:rPr>
              <w:t>SCS [kHz]</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14:paraId="5549EC30" w14:textId="77777777" w:rsidR="003D5A21" w:rsidRPr="003D5A21" w:rsidRDefault="003D5A21"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15</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14:paraId="0FF6DFC8" w14:textId="77777777" w:rsidR="003D5A21" w:rsidRPr="003D5A21" w:rsidRDefault="003D5A21"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30</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14:paraId="0CF3B62E" w14:textId="77777777" w:rsidR="003D5A21" w:rsidRPr="003D5A21" w:rsidRDefault="003D5A21"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60</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14:paraId="7CA0B0DD" w14:textId="77777777" w:rsidR="003D5A21" w:rsidRPr="003D5A21" w:rsidRDefault="003D5A21"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15</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14:paraId="3BAE0A4B" w14:textId="77777777" w:rsidR="003D5A21" w:rsidRPr="003D5A21" w:rsidRDefault="003D5A21"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30</w:t>
            </w:r>
          </w:p>
        </w:tc>
        <w:tc>
          <w:tcPr>
            <w:tcW w:w="620" w:type="dxa"/>
            <w:tcBorders>
              <w:top w:val="single" w:sz="4" w:space="0" w:color="auto"/>
              <w:left w:val="nil"/>
              <w:bottom w:val="single" w:sz="4" w:space="0" w:color="auto"/>
              <w:right w:val="single" w:sz="4" w:space="0" w:color="auto"/>
            </w:tcBorders>
            <w:shd w:val="clear" w:color="auto" w:fill="auto"/>
            <w:noWrap/>
            <w:vAlign w:val="bottom"/>
            <w:hideMark/>
          </w:tcPr>
          <w:p w14:paraId="1ECDAA67" w14:textId="77777777" w:rsidR="003D5A21" w:rsidRPr="003D5A21" w:rsidRDefault="003D5A21"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60</w:t>
            </w:r>
          </w:p>
        </w:tc>
        <w:tc>
          <w:tcPr>
            <w:tcW w:w="559" w:type="dxa"/>
            <w:tcBorders>
              <w:top w:val="single" w:sz="4" w:space="0" w:color="auto"/>
              <w:left w:val="nil"/>
              <w:bottom w:val="single" w:sz="4" w:space="0" w:color="auto"/>
              <w:right w:val="single" w:sz="4" w:space="0" w:color="auto"/>
            </w:tcBorders>
            <w:shd w:val="clear" w:color="auto" w:fill="auto"/>
            <w:noWrap/>
            <w:vAlign w:val="bottom"/>
            <w:hideMark/>
          </w:tcPr>
          <w:p w14:paraId="530EEC03" w14:textId="77777777" w:rsidR="003D5A21" w:rsidRPr="003D5A21" w:rsidRDefault="003D5A21"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15</w:t>
            </w:r>
          </w:p>
        </w:tc>
        <w:tc>
          <w:tcPr>
            <w:tcW w:w="519" w:type="dxa"/>
            <w:tcBorders>
              <w:top w:val="single" w:sz="4" w:space="0" w:color="auto"/>
              <w:left w:val="nil"/>
              <w:bottom w:val="single" w:sz="4" w:space="0" w:color="auto"/>
              <w:right w:val="single" w:sz="4" w:space="0" w:color="auto"/>
            </w:tcBorders>
            <w:shd w:val="clear" w:color="auto" w:fill="auto"/>
            <w:noWrap/>
            <w:vAlign w:val="bottom"/>
            <w:hideMark/>
          </w:tcPr>
          <w:p w14:paraId="7E810A93" w14:textId="77777777" w:rsidR="003D5A21" w:rsidRPr="003D5A21" w:rsidRDefault="003D5A21"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30</w:t>
            </w:r>
          </w:p>
        </w:tc>
        <w:tc>
          <w:tcPr>
            <w:tcW w:w="519" w:type="dxa"/>
            <w:gridSpan w:val="2"/>
            <w:tcBorders>
              <w:top w:val="single" w:sz="4" w:space="0" w:color="auto"/>
              <w:left w:val="nil"/>
              <w:bottom w:val="single" w:sz="4" w:space="0" w:color="auto"/>
              <w:right w:val="single" w:sz="4" w:space="0" w:color="auto"/>
            </w:tcBorders>
            <w:shd w:val="clear" w:color="auto" w:fill="auto"/>
            <w:noWrap/>
            <w:vAlign w:val="bottom"/>
            <w:hideMark/>
          </w:tcPr>
          <w:p w14:paraId="377FA14A" w14:textId="77777777" w:rsidR="003D5A21" w:rsidRPr="003D5A21" w:rsidRDefault="003D5A21"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60</w:t>
            </w:r>
          </w:p>
        </w:tc>
      </w:tr>
      <w:tr w:rsidR="00F63D36" w:rsidRPr="003D5A21" w14:paraId="14A03751" w14:textId="77777777" w:rsidTr="00F63D36">
        <w:trPr>
          <w:trHeight w:val="264"/>
          <w:jc w:val="center"/>
        </w:trPr>
        <w:tc>
          <w:tcPr>
            <w:tcW w:w="1238" w:type="dxa"/>
            <w:tcBorders>
              <w:top w:val="nil"/>
              <w:left w:val="single" w:sz="4" w:space="0" w:color="auto"/>
              <w:bottom w:val="single" w:sz="4" w:space="0" w:color="auto"/>
              <w:right w:val="single" w:sz="4" w:space="0" w:color="auto"/>
            </w:tcBorders>
            <w:shd w:val="clear" w:color="auto" w:fill="auto"/>
            <w:noWrap/>
            <w:vAlign w:val="bottom"/>
            <w:hideMark/>
          </w:tcPr>
          <w:p w14:paraId="6A653CB5" w14:textId="77777777" w:rsidR="003D5A21" w:rsidRPr="003D5A21" w:rsidRDefault="003D5A21" w:rsidP="003D5A21">
            <w:pPr>
              <w:overflowPunct/>
              <w:autoSpaceDE/>
              <w:autoSpaceDN/>
              <w:adjustRightInd/>
              <w:spacing w:after="0"/>
              <w:textAlignment w:val="auto"/>
              <w:rPr>
                <w:rFonts w:asciiTheme="minorHAnsi" w:hAnsiTheme="minorHAnsi"/>
                <w:color w:val="000000"/>
              </w:rPr>
            </w:pPr>
            <w:r w:rsidRPr="003D5A21">
              <w:rPr>
                <w:rFonts w:asciiTheme="minorHAnsi" w:hAnsiTheme="minorHAnsi"/>
                <w:color w:val="000000"/>
              </w:rPr>
              <w:t>BW [MHz]</w:t>
            </w:r>
          </w:p>
        </w:tc>
        <w:tc>
          <w:tcPr>
            <w:tcW w:w="1860" w:type="dxa"/>
            <w:gridSpan w:val="3"/>
            <w:tcBorders>
              <w:top w:val="single" w:sz="4" w:space="0" w:color="auto"/>
              <w:left w:val="nil"/>
              <w:bottom w:val="single" w:sz="4" w:space="0" w:color="auto"/>
              <w:right w:val="single" w:sz="4" w:space="0" w:color="auto"/>
            </w:tcBorders>
            <w:shd w:val="clear" w:color="auto" w:fill="auto"/>
            <w:noWrap/>
            <w:vAlign w:val="bottom"/>
            <w:hideMark/>
          </w:tcPr>
          <w:p w14:paraId="48D6DD1F" w14:textId="77777777" w:rsidR="003D5A21" w:rsidRPr="003D5A21" w:rsidRDefault="003D5A21"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Specification</w:t>
            </w:r>
          </w:p>
        </w:tc>
        <w:tc>
          <w:tcPr>
            <w:tcW w:w="1860" w:type="dxa"/>
            <w:gridSpan w:val="3"/>
            <w:tcBorders>
              <w:top w:val="single" w:sz="4" w:space="0" w:color="auto"/>
              <w:left w:val="nil"/>
              <w:bottom w:val="single" w:sz="4" w:space="0" w:color="auto"/>
              <w:right w:val="single" w:sz="4" w:space="0" w:color="auto"/>
            </w:tcBorders>
            <w:shd w:val="clear" w:color="auto" w:fill="auto"/>
            <w:noWrap/>
            <w:vAlign w:val="bottom"/>
            <w:hideMark/>
          </w:tcPr>
          <w:p w14:paraId="75EDC148" w14:textId="0C970D3D" w:rsidR="003D5A21" w:rsidRPr="003D5A21" w:rsidRDefault="00F63D36" w:rsidP="00F63D36">
            <w:pPr>
              <w:overflowPunct/>
              <w:autoSpaceDE/>
              <w:autoSpaceDN/>
              <w:adjustRightInd/>
              <w:spacing w:after="0"/>
              <w:jc w:val="center"/>
              <w:textAlignment w:val="auto"/>
              <w:rPr>
                <w:rFonts w:asciiTheme="minorHAnsi" w:hAnsiTheme="minorHAnsi"/>
                <w:color w:val="000000"/>
              </w:rPr>
            </w:pPr>
            <w:r>
              <w:rPr>
                <w:rFonts w:asciiTheme="minorHAnsi" w:hAnsiTheme="minorHAnsi"/>
                <w:color w:val="000000"/>
              </w:rPr>
              <w:t xml:space="preserve">Rounded </w:t>
            </w:r>
            <w:r w:rsidR="003D5A21" w:rsidRPr="003D5A21">
              <w:rPr>
                <w:rFonts w:asciiTheme="minorHAnsi" w:hAnsiTheme="minorHAnsi"/>
                <w:color w:val="000000"/>
              </w:rPr>
              <w:t>linear fit</w:t>
            </w:r>
          </w:p>
        </w:tc>
        <w:tc>
          <w:tcPr>
            <w:tcW w:w="1597" w:type="dxa"/>
            <w:gridSpan w:val="4"/>
            <w:tcBorders>
              <w:top w:val="single" w:sz="4" w:space="0" w:color="auto"/>
              <w:left w:val="nil"/>
              <w:bottom w:val="single" w:sz="4" w:space="0" w:color="auto"/>
              <w:right w:val="single" w:sz="4" w:space="0" w:color="auto"/>
            </w:tcBorders>
            <w:shd w:val="clear" w:color="auto" w:fill="auto"/>
            <w:noWrap/>
            <w:vAlign w:val="bottom"/>
            <w:hideMark/>
          </w:tcPr>
          <w:p w14:paraId="3D1CCAE3" w14:textId="14BAD6AE" w:rsidR="003D5A21" w:rsidRPr="003D5A21" w:rsidRDefault="00F63D36" w:rsidP="00F63D36">
            <w:pPr>
              <w:overflowPunct/>
              <w:autoSpaceDE/>
              <w:autoSpaceDN/>
              <w:adjustRightInd/>
              <w:spacing w:after="0"/>
              <w:jc w:val="center"/>
              <w:textAlignment w:val="auto"/>
              <w:rPr>
                <w:rFonts w:asciiTheme="minorHAnsi" w:hAnsiTheme="minorHAnsi"/>
                <w:color w:val="000000"/>
              </w:rPr>
            </w:pPr>
            <w:r>
              <w:rPr>
                <w:rFonts w:asciiTheme="minorHAnsi" w:hAnsiTheme="minorHAnsi"/>
                <w:color w:val="000000"/>
              </w:rPr>
              <w:t>E</w:t>
            </w:r>
            <w:r w:rsidR="003D5A21" w:rsidRPr="003D5A21">
              <w:rPr>
                <w:rFonts w:asciiTheme="minorHAnsi" w:hAnsiTheme="minorHAnsi"/>
                <w:color w:val="000000"/>
              </w:rPr>
              <w:t>rror</w:t>
            </w:r>
          </w:p>
        </w:tc>
      </w:tr>
      <w:tr w:rsidR="00F63D36" w:rsidRPr="00B75AE3" w14:paraId="0C0E3464" w14:textId="77777777" w:rsidTr="00F63D36">
        <w:trPr>
          <w:trHeight w:val="264"/>
          <w:jc w:val="center"/>
        </w:trPr>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6176D186"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5</w:t>
            </w:r>
          </w:p>
        </w:tc>
        <w:tc>
          <w:tcPr>
            <w:tcW w:w="620" w:type="dxa"/>
            <w:tcBorders>
              <w:top w:val="nil"/>
              <w:left w:val="nil"/>
              <w:bottom w:val="single" w:sz="4" w:space="0" w:color="auto"/>
              <w:right w:val="single" w:sz="4" w:space="0" w:color="auto"/>
            </w:tcBorders>
            <w:shd w:val="clear" w:color="auto" w:fill="auto"/>
            <w:vAlign w:val="center"/>
            <w:hideMark/>
          </w:tcPr>
          <w:p w14:paraId="2650FD3D"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25</w:t>
            </w:r>
          </w:p>
        </w:tc>
        <w:tc>
          <w:tcPr>
            <w:tcW w:w="620" w:type="dxa"/>
            <w:tcBorders>
              <w:top w:val="nil"/>
              <w:left w:val="nil"/>
              <w:bottom w:val="single" w:sz="4" w:space="0" w:color="auto"/>
              <w:right w:val="single" w:sz="4" w:space="0" w:color="auto"/>
            </w:tcBorders>
            <w:shd w:val="clear" w:color="auto" w:fill="auto"/>
            <w:vAlign w:val="center"/>
            <w:hideMark/>
          </w:tcPr>
          <w:p w14:paraId="0C0FD4CC"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11</w:t>
            </w:r>
          </w:p>
        </w:tc>
        <w:tc>
          <w:tcPr>
            <w:tcW w:w="620" w:type="dxa"/>
            <w:tcBorders>
              <w:top w:val="nil"/>
              <w:left w:val="nil"/>
              <w:bottom w:val="single" w:sz="4" w:space="0" w:color="auto"/>
              <w:right w:val="single" w:sz="4" w:space="0" w:color="auto"/>
            </w:tcBorders>
            <w:shd w:val="clear" w:color="000000" w:fill="000000"/>
            <w:noWrap/>
            <w:vAlign w:val="center"/>
          </w:tcPr>
          <w:p w14:paraId="56633C19" w14:textId="2D42668F" w:rsidR="00F63D36" w:rsidRPr="003D5A21" w:rsidRDefault="00F63D36" w:rsidP="003D5A21">
            <w:pPr>
              <w:overflowPunct/>
              <w:autoSpaceDE/>
              <w:autoSpaceDN/>
              <w:adjustRightInd/>
              <w:spacing w:after="0"/>
              <w:jc w:val="center"/>
              <w:textAlignment w:val="auto"/>
              <w:rPr>
                <w:rFonts w:asciiTheme="minorHAnsi" w:hAnsiTheme="minorHAnsi"/>
                <w:color w:val="000000"/>
              </w:rPr>
            </w:pPr>
          </w:p>
        </w:tc>
        <w:tc>
          <w:tcPr>
            <w:tcW w:w="620" w:type="dxa"/>
            <w:tcBorders>
              <w:top w:val="nil"/>
              <w:left w:val="nil"/>
              <w:bottom w:val="single" w:sz="4" w:space="0" w:color="auto"/>
              <w:right w:val="single" w:sz="4" w:space="0" w:color="auto"/>
            </w:tcBorders>
            <w:shd w:val="clear" w:color="auto" w:fill="auto"/>
            <w:noWrap/>
            <w:vAlign w:val="bottom"/>
            <w:hideMark/>
          </w:tcPr>
          <w:p w14:paraId="38056872"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25</w:t>
            </w:r>
          </w:p>
        </w:tc>
        <w:tc>
          <w:tcPr>
            <w:tcW w:w="620" w:type="dxa"/>
            <w:tcBorders>
              <w:top w:val="nil"/>
              <w:left w:val="nil"/>
              <w:bottom w:val="single" w:sz="4" w:space="0" w:color="auto"/>
              <w:right w:val="single" w:sz="4" w:space="0" w:color="auto"/>
            </w:tcBorders>
            <w:shd w:val="clear" w:color="auto" w:fill="auto"/>
            <w:noWrap/>
            <w:vAlign w:val="bottom"/>
            <w:hideMark/>
          </w:tcPr>
          <w:p w14:paraId="42849D54"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10</w:t>
            </w:r>
          </w:p>
        </w:tc>
        <w:tc>
          <w:tcPr>
            <w:tcW w:w="620" w:type="dxa"/>
            <w:tcBorders>
              <w:top w:val="nil"/>
              <w:left w:val="nil"/>
              <w:bottom w:val="single" w:sz="4" w:space="0" w:color="auto"/>
              <w:right w:val="single" w:sz="4" w:space="0" w:color="auto"/>
            </w:tcBorders>
            <w:shd w:val="clear" w:color="000000" w:fill="000000"/>
            <w:noWrap/>
            <w:vAlign w:val="bottom"/>
          </w:tcPr>
          <w:p w14:paraId="74947707" w14:textId="676545C0" w:rsidR="00F63D36" w:rsidRPr="003D5A21" w:rsidRDefault="00F63D36" w:rsidP="003D5A21">
            <w:pPr>
              <w:overflowPunct/>
              <w:autoSpaceDE/>
              <w:autoSpaceDN/>
              <w:adjustRightInd/>
              <w:spacing w:after="0"/>
              <w:jc w:val="center"/>
              <w:textAlignment w:val="auto"/>
              <w:rPr>
                <w:rFonts w:asciiTheme="minorHAnsi" w:hAnsiTheme="minorHAnsi"/>
                <w:color w:val="000000"/>
              </w:rPr>
            </w:pPr>
          </w:p>
        </w:tc>
        <w:tc>
          <w:tcPr>
            <w:tcW w:w="556" w:type="dxa"/>
            <w:tcBorders>
              <w:top w:val="nil"/>
              <w:left w:val="nil"/>
              <w:bottom w:val="single" w:sz="4" w:space="0" w:color="auto"/>
              <w:right w:val="single" w:sz="4" w:space="0" w:color="auto"/>
            </w:tcBorders>
            <w:shd w:val="clear" w:color="000000" w:fill="92D050"/>
            <w:noWrap/>
            <w:vAlign w:val="bottom"/>
            <w:hideMark/>
          </w:tcPr>
          <w:p w14:paraId="7EA74DBC" w14:textId="5B1CE240"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0</w:t>
            </w:r>
          </w:p>
        </w:tc>
        <w:tc>
          <w:tcPr>
            <w:tcW w:w="533" w:type="dxa"/>
            <w:gridSpan w:val="2"/>
            <w:tcBorders>
              <w:top w:val="nil"/>
              <w:left w:val="nil"/>
              <w:bottom w:val="single" w:sz="4" w:space="0" w:color="auto"/>
              <w:right w:val="single" w:sz="4" w:space="0" w:color="auto"/>
            </w:tcBorders>
            <w:shd w:val="clear" w:color="000000" w:fill="FFFF00"/>
            <w:noWrap/>
            <w:vAlign w:val="bottom"/>
            <w:hideMark/>
          </w:tcPr>
          <w:p w14:paraId="735E31C9" w14:textId="43ACAA32"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1</w:t>
            </w:r>
          </w:p>
        </w:tc>
        <w:tc>
          <w:tcPr>
            <w:tcW w:w="508" w:type="dxa"/>
            <w:tcBorders>
              <w:top w:val="nil"/>
              <w:left w:val="nil"/>
              <w:bottom w:val="single" w:sz="4" w:space="0" w:color="auto"/>
              <w:right w:val="single" w:sz="4" w:space="0" w:color="auto"/>
            </w:tcBorders>
            <w:shd w:val="clear" w:color="000000" w:fill="000000"/>
            <w:noWrap/>
            <w:vAlign w:val="bottom"/>
            <w:hideMark/>
          </w:tcPr>
          <w:p w14:paraId="7FA8DC09" w14:textId="6AAB11FA"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 </w:t>
            </w:r>
          </w:p>
        </w:tc>
      </w:tr>
      <w:tr w:rsidR="00F63D36" w:rsidRPr="00B75AE3" w14:paraId="5E5E1561" w14:textId="77777777" w:rsidTr="00F63D36">
        <w:trPr>
          <w:trHeight w:val="264"/>
          <w:jc w:val="center"/>
        </w:trPr>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17FCA231"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10</w:t>
            </w:r>
          </w:p>
        </w:tc>
        <w:tc>
          <w:tcPr>
            <w:tcW w:w="620" w:type="dxa"/>
            <w:tcBorders>
              <w:top w:val="nil"/>
              <w:left w:val="nil"/>
              <w:bottom w:val="single" w:sz="4" w:space="0" w:color="auto"/>
              <w:right w:val="single" w:sz="4" w:space="0" w:color="auto"/>
            </w:tcBorders>
            <w:shd w:val="clear" w:color="auto" w:fill="auto"/>
            <w:vAlign w:val="center"/>
            <w:hideMark/>
          </w:tcPr>
          <w:p w14:paraId="51E6FEAD"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52</w:t>
            </w:r>
          </w:p>
        </w:tc>
        <w:tc>
          <w:tcPr>
            <w:tcW w:w="620" w:type="dxa"/>
            <w:tcBorders>
              <w:top w:val="nil"/>
              <w:left w:val="nil"/>
              <w:bottom w:val="single" w:sz="4" w:space="0" w:color="auto"/>
              <w:right w:val="single" w:sz="4" w:space="0" w:color="auto"/>
            </w:tcBorders>
            <w:shd w:val="clear" w:color="auto" w:fill="auto"/>
            <w:vAlign w:val="center"/>
            <w:hideMark/>
          </w:tcPr>
          <w:p w14:paraId="25C51AA0"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24</w:t>
            </w:r>
          </w:p>
        </w:tc>
        <w:tc>
          <w:tcPr>
            <w:tcW w:w="620" w:type="dxa"/>
            <w:tcBorders>
              <w:top w:val="nil"/>
              <w:left w:val="nil"/>
              <w:bottom w:val="single" w:sz="4" w:space="0" w:color="auto"/>
              <w:right w:val="single" w:sz="4" w:space="0" w:color="auto"/>
            </w:tcBorders>
            <w:shd w:val="clear" w:color="auto" w:fill="auto"/>
            <w:vAlign w:val="center"/>
            <w:hideMark/>
          </w:tcPr>
          <w:p w14:paraId="159B358F"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11</w:t>
            </w:r>
          </w:p>
        </w:tc>
        <w:tc>
          <w:tcPr>
            <w:tcW w:w="620" w:type="dxa"/>
            <w:tcBorders>
              <w:top w:val="nil"/>
              <w:left w:val="nil"/>
              <w:bottom w:val="single" w:sz="4" w:space="0" w:color="auto"/>
              <w:right w:val="single" w:sz="4" w:space="0" w:color="auto"/>
            </w:tcBorders>
            <w:shd w:val="clear" w:color="auto" w:fill="auto"/>
            <w:noWrap/>
            <w:vAlign w:val="bottom"/>
            <w:hideMark/>
          </w:tcPr>
          <w:p w14:paraId="7E6262B9"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52</w:t>
            </w:r>
          </w:p>
        </w:tc>
        <w:tc>
          <w:tcPr>
            <w:tcW w:w="620" w:type="dxa"/>
            <w:tcBorders>
              <w:top w:val="nil"/>
              <w:left w:val="nil"/>
              <w:bottom w:val="single" w:sz="4" w:space="0" w:color="auto"/>
              <w:right w:val="single" w:sz="4" w:space="0" w:color="auto"/>
            </w:tcBorders>
            <w:shd w:val="clear" w:color="auto" w:fill="auto"/>
            <w:noWrap/>
            <w:vAlign w:val="bottom"/>
            <w:hideMark/>
          </w:tcPr>
          <w:p w14:paraId="1F7240C1"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24</w:t>
            </w:r>
          </w:p>
        </w:tc>
        <w:tc>
          <w:tcPr>
            <w:tcW w:w="620" w:type="dxa"/>
            <w:tcBorders>
              <w:top w:val="nil"/>
              <w:left w:val="nil"/>
              <w:bottom w:val="single" w:sz="4" w:space="0" w:color="auto"/>
              <w:right w:val="single" w:sz="4" w:space="0" w:color="auto"/>
            </w:tcBorders>
            <w:shd w:val="clear" w:color="auto" w:fill="auto"/>
            <w:noWrap/>
            <w:vAlign w:val="bottom"/>
            <w:hideMark/>
          </w:tcPr>
          <w:p w14:paraId="7D2AF504"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10</w:t>
            </w:r>
          </w:p>
        </w:tc>
        <w:tc>
          <w:tcPr>
            <w:tcW w:w="556" w:type="dxa"/>
            <w:tcBorders>
              <w:top w:val="nil"/>
              <w:left w:val="nil"/>
              <w:bottom w:val="single" w:sz="4" w:space="0" w:color="auto"/>
              <w:right w:val="single" w:sz="4" w:space="0" w:color="auto"/>
            </w:tcBorders>
            <w:shd w:val="clear" w:color="000000" w:fill="92D050"/>
            <w:noWrap/>
            <w:vAlign w:val="bottom"/>
            <w:hideMark/>
          </w:tcPr>
          <w:p w14:paraId="7406908A" w14:textId="34F5CB56"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0</w:t>
            </w:r>
          </w:p>
        </w:tc>
        <w:tc>
          <w:tcPr>
            <w:tcW w:w="533" w:type="dxa"/>
            <w:gridSpan w:val="2"/>
            <w:tcBorders>
              <w:top w:val="nil"/>
              <w:left w:val="nil"/>
              <w:bottom w:val="single" w:sz="4" w:space="0" w:color="auto"/>
              <w:right w:val="single" w:sz="4" w:space="0" w:color="auto"/>
            </w:tcBorders>
            <w:shd w:val="clear" w:color="000000" w:fill="92D050"/>
            <w:noWrap/>
            <w:vAlign w:val="bottom"/>
            <w:hideMark/>
          </w:tcPr>
          <w:p w14:paraId="3AE3E22A" w14:textId="43C96087"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0</w:t>
            </w:r>
          </w:p>
        </w:tc>
        <w:tc>
          <w:tcPr>
            <w:tcW w:w="508" w:type="dxa"/>
            <w:tcBorders>
              <w:top w:val="nil"/>
              <w:left w:val="nil"/>
              <w:bottom w:val="single" w:sz="4" w:space="0" w:color="auto"/>
              <w:right w:val="single" w:sz="4" w:space="0" w:color="auto"/>
            </w:tcBorders>
            <w:shd w:val="clear" w:color="000000" w:fill="FFFF00"/>
            <w:noWrap/>
            <w:vAlign w:val="bottom"/>
            <w:hideMark/>
          </w:tcPr>
          <w:p w14:paraId="53682B9D" w14:textId="65AE422F"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1</w:t>
            </w:r>
          </w:p>
        </w:tc>
      </w:tr>
      <w:tr w:rsidR="00F63D36" w:rsidRPr="00B75AE3" w14:paraId="033938A8" w14:textId="77777777" w:rsidTr="00F63D36">
        <w:trPr>
          <w:trHeight w:val="264"/>
          <w:jc w:val="center"/>
        </w:trPr>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5A6700EE"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15</w:t>
            </w:r>
          </w:p>
        </w:tc>
        <w:tc>
          <w:tcPr>
            <w:tcW w:w="620" w:type="dxa"/>
            <w:tcBorders>
              <w:top w:val="nil"/>
              <w:left w:val="nil"/>
              <w:bottom w:val="single" w:sz="4" w:space="0" w:color="auto"/>
              <w:right w:val="single" w:sz="4" w:space="0" w:color="auto"/>
            </w:tcBorders>
            <w:shd w:val="clear" w:color="auto" w:fill="auto"/>
            <w:vAlign w:val="center"/>
            <w:hideMark/>
          </w:tcPr>
          <w:p w14:paraId="3C9B8A5F"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79</w:t>
            </w:r>
          </w:p>
        </w:tc>
        <w:tc>
          <w:tcPr>
            <w:tcW w:w="620" w:type="dxa"/>
            <w:tcBorders>
              <w:top w:val="nil"/>
              <w:left w:val="nil"/>
              <w:bottom w:val="single" w:sz="4" w:space="0" w:color="auto"/>
              <w:right w:val="single" w:sz="4" w:space="0" w:color="auto"/>
            </w:tcBorders>
            <w:shd w:val="clear" w:color="auto" w:fill="auto"/>
            <w:vAlign w:val="center"/>
            <w:hideMark/>
          </w:tcPr>
          <w:p w14:paraId="3618252C"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38</w:t>
            </w:r>
          </w:p>
        </w:tc>
        <w:tc>
          <w:tcPr>
            <w:tcW w:w="620" w:type="dxa"/>
            <w:tcBorders>
              <w:top w:val="nil"/>
              <w:left w:val="nil"/>
              <w:bottom w:val="single" w:sz="4" w:space="0" w:color="auto"/>
              <w:right w:val="single" w:sz="4" w:space="0" w:color="auto"/>
            </w:tcBorders>
            <w:shd w:val="clear" w:color="auto" w:fill="auto"/>
            <w:vAlign w:val="center"/>
            <w:hideMark/>
          </w:tcPr>
          <w:p w14:paraId="5756C779"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18</w:t>
            </w:r>
          </w:p>
        </w:tc>
        <w:tc>
          <w:tcPr>
            <w:tcW w:w="620" w:type="dxa"/>
            <w:tcBorders>
              <w:top w:val="nil"/>
              <w:left w:val="nil"/>
              <w:bottom w:val="single" w:sz="4" w:space="0" w:color="auto"/>
              <w:right w:val="single" w:sz="4" w:space="0" w:color="auto"/>
            </w:tcBorders>
            <w:shd w:val="clear" w:color="auto" w:fill="auto"/>
            <w:noWrap/>
            <w:vAlign w:val="bottom"/>
            <w:hideMark/>
          </w:tcPr>
          <w:p w14:paraId="372F5987"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79</w:t>
            </w:r>
          </w:p>
        </w:tc>
        <w:tc>
          <w:tcPr>
            <w:tcW w:w="620" w:type="dxa"/>
            <w:tcBorders>
              <w:top w:val="nil"/>
              <w:left w:val="nil"/>
              <w:bottom w:val="single" w:sz="4" w:space="0" w:color="auto"/>
              <w:right w:val="single" w:sz="4" w:space="0" w:color="auto"/>
            </w:tcBorders>
            <w:shd w:val="clear" w:color="auto" w:fill="auto"/>
            <w:noWrap/>
            <w:vAlign w:val="bottom"/>
            <w:hideMark/>
          </w:tcPr>
          <w:p w14:paraId="2E8A7173"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37</w:t>
            </w:r>
          </w:p>
        </w:tc>
        <w:tc>
          <w:tcPr>
            <w:tcW w:w="620" w:type="dxa"/>
            <w:tcBorders>
              <w:top w:val="nil"/>
              <w:left w:val="nil"/>
              <w:bottom w:val="single" w:sz="4" w:space="0" w:color="auto"/>
              <w:right w:val="single" w:sz="4" w:space="0" w:color="auto"/>
            </w:tcBorders>
            <w:shd w:val="clear" w:color="auto" w:fill="auto"/>
            <w:noWrap/>
            <w:vAlign w:val="bottom"/>
            <w:hideMark/>
          </w:tcPr>
          <w:p w14:paraId="102F27B7"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17</w:t>
            </w:r>
          </w:p>
        </w:tc>
        <w:tc>
          <w:tcPr>
            <w:tcW w:w="556" w:type="dxa"/>
            <w:tcBorders>
              <w:top w:val="nil"/>
              <w:left w:val="nil"/>
              <w:bottom w:val="single" w:sz="4" w:space="0" w:color="auto"/>
              <w:right w:val="single" w:sz="4" w:space="0" w:color="auto"/>
            </w:tcBorders>
            <w:shd w:val="clear" w:color="000000" w:fill="92D050"/>
            <w:noWrap/>
            <w:vAlign w:val="bottom"/>
            <w:hideMark/>
          </w:tcPr>
          <w:p w14:paraId="7C135046" w14:textId="21FB2F98"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0</w:t>
            </w:r>
          </w:p>
        </w:tc>
        <w:tc>
          <w:tcPr>
            <w:tcW w:w="533" w:type="dxa"/>
            <w:gridSpan w:val="2"/>
            <w:tcBorders>
              <w:top w:val="nil"/>
              <w:left w:val="nil"/>
              <w:bottom w:val="single" w:sz="4" w:space="0" w:color="auto"/>
              <w:right w:val="single" w:sz="4" w:space="0" w:color="auto"/>
            </w:tcBorders>
            <w:shd w:val="clear" w:color="000000" w:fill="FFFF00"/>
            <w:noWrap/>
            <w:vAlign w:val="bottom"/>
            <w:hideMark/>
          </w:tcPr>
          <w:p w14:paraId="0BFB817F" w14:textId="6CEC2D81"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1</w:t>
            </w:r>
          </w:p>
        </w:tc>
        <w:tc>
          <w:tcPr>
            <w:tcW w:w="508" w:type="dxa"/>
            <w:tcBorders>
              <w:top w:val="nil"/>
              <w:left w:val="nil"/>
              <w:bottom w:val="single" w:sz="4" w:space="0" w:color="auto"/>
              <w:right w:val="single" w:sz="4" w:space="0" w:color="auto"/>
            </w:tcBorders>
            <w:shd w:val="clear" w:color="000000" w:fill="FFFF00"/>
            <w:noWrap/>
            <w:vAlign w:val="bottom"/>
            <w:hideMark/>
          </w:tcPr>
          <w:p w14:paraId="4AA3A68C" w14:textId="3711DF90"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1</w:t>
            </w:r>
          </w:p>
        </w:tc>
      </w:tr>
      <w:tr w:rsidR="00F63D36" w:rsidRPr="00B75AE3" w14:paraId="1C3AAD7C" w14:textId="77777777" w:rsidTr="00F63D36">
        <w:trPr>
          <w:trHeight w:val="264"/>
          <w:jc w:val="center"/>
        </w:trPr>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453F38CF"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20</w:t>
            </w:r>
          </w:p>
        </w:tc>
        <w:tc>
          <w:tcPr>
            <w:tcW w:w="620" w:type="dxa"/>
            <w:tcBorders>
              <w:top w:val="nil"/>
              <w:left w:val="nil"/>
              <w:bottom w:val="single" w:sz="4" w:space="0" w:color="auto"/>
              <w:right w:val="single" w:sz="4" w:space="0" w:color="auto"/>
            </w:tcBorders>
            <w:shd w:val="clear" w:color="auto" w:fill="auto"/>
            <w:vAlign w:val="center"/>
            <w:hideMark/>
          </w:tcPr>
          <w:p w14:paraId="25732463"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106</w:t>
            </w:r>
          </w:p>
        </w:tc>
        <w:tc>
          <w:tcPr>
            <w:tcW w:w="620" w:type="dxa"/>
            <w:tcBorders>
              <w:top w:val="nil"/>
              <w:left w:val="nil"/>
              <w:bottom w:val="single" w:sz="4" w:space="0" w:color="auto"/>
              <w:right w:val="single" w:sz="4" w:space="0" w:color="auto"/>
            </w:tcBorders>
            <w:shd w:val="clear" w:color="auto" w:fill="auto"/>
            <w:vAlign w:val="center"/>
            <w:hideMark/>
          </w:tcPr>
          <w:p w14:paraId="4D47A382"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51</w:t>
            </w:r>
          </w:p>
        </w:tc>
        <w:tc>
          <w:tcPr>
            <w:tcW w:w="620" w:type="dxa"/>
            <w:tcBorders>
              <w:top w:val="nil"/>
              <w:left w:val="nil"/>
              <w:bottom w:val="single" w:sz="4" w:space="0" w:color="auto"/>
              <w:right w:val="single" w:sz="4" w:space="0" w:color="auto"/>
            </w:tcBorders>
            <w:shd w:val="clear" w:color="auto" w:fill="auto"/>
            <w:vAlign w:val="center"/>
            <w:hideMark/>
          </w:tcPr>
          <w:p w14:paraId="50589F3F"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24</w:t>
            </w:r>
          </w:p>
        </w:tc>
        <w:tc>
          <w:tcPr>
            <w:tcW w:w="620" w:type="dxa"/>
            <w:tcBorders>
              <w:top w:val="nil"/>
              <w:left w:val="nil"/>
              <w:bottom w:val="single" w:sz="4" w:space="0" w:color="auto"/>
              <w:right w:val="single" w:sz="4" w:space="0" w:color="auto"/>
            </w:tcBorders>
            <w:shd w:val="clear" w:color="auto" w:fill="auto"/>
            <w:noWrap/>
            <w:vAlign w:val="bottom"/>
            <w:hideMark/>
          </w:tcPr>
          <w:p w14:paraId="72E218BD"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106</w:t>
            </w:r>
          </w:p>
        </w:tc>
        <w:tc>
          <w:tcPr>
            <w:tcW w:w="620" w:type="dxa"/>
            <w:tcBorders>
              <w:top w:val="nil"/>
              <w:left w:val="nil"/>
              <w:bottom w:val="single" w:sz="4" w:space="0" w:color="auto"/>
              <w:right w:val="single" w:sz="4" w:space="0" w:color="auto"/>
            </w:tcBorders>
            <w:shd w:val="clear" w:color="auto" w:fill="auto"/>
            <w:noWrap/>
            <w:vAlign w:val="bottom"/>
            <w:hideMark/>
          </w:tcPr>
          <w:p w14:paraId="66DBF73B"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51</w:t>
            </w:r>
          </w:p>
        </w:tc>
        <w:tc>
          <w:tcPr>
            <w:tcW w:w="620" w:type="dxa"/>
            <w:tcBorders>
              <w:top w:val="nil"/>
              <w:left w:val="nil"/>
              <w:bottom w:val="single" w:sz="4" w:space="0" w:color="auto"/>
              <w:right w:val="single" w:sz="4" w:space="0" w:color="auto"/>
            </w:tcBorders>
            <w:shd w:val="clear" w:color="auto" w:fill="auto"/>
            <w:noWrap/>
            <w:vAlign w:val="bottom"/>
            <w:hideMark/>
          </w:tcPr>
          <w:p w14:paraId="1FA873EB"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24</w:t>
            </w:r>
          </w:p>
        </w:tc>
        <w:tc>
          <w:tcPr>
            <w:tcW w:w="556" w:type="dxa"/>
            <w:tcBorders>
              <w:top w:val="nil"/>
              <w:left w:val="nil"/>
              <w:bottom w:val="single" w:sz="4" w:space="0" w:color="auto"/>
              <w:right w:val="single" w:sz="4" w:space="0" w:color="auto"/>
            </w:tcBorders>
            <w:shd w:val="clear" w:color="000000" w:fill="92D050"/>
            <w:noWrap/>
            <w:vAlign w:val="bottom"/>
            <w:hideMark/>
          </w:tcPr>
          <w:p w14:paraId="1C73BDEA" w14:textId="61A52192"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0</w:t>
            </w:r>
          </w:p>
        </w:tc>
        <w:tc>
          <w:tcPr>
            <w:tcW w:w="533" w:type="dxa"/>
            <w:gridSpan w:val="2"/>
            <w:tcBorders>
              <w:top w:val="nil"/>
              <w:left w:val="nil"/>
              <w:bottom w:val="single" w:sz="4" w:space="0" w:color="auto"/>
              <w:right w:val="single" w:sz="4" w:space="0" w:color="auto"/>
            </w:tcBorders>
            <w:shd w:val="clear" w:color="000000" w:fill="92D050"/>
            <w:noWrap/>
            <w:vAlign w:val="bottom"/>
            <w:hideMark/>
          </w:tcPr>
          <w:p w14:paraId="1F496EAF" w14:textId="569EE888"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0</w:t>
            </w:r>
          </w:p>
        </w:tc>
        <w:tc>
          <w:tcPr>
            <w:tcW w:w="508" w:type="dxa"/>
            <w:tcBorders>
              <w:top w:val="nil"/>
              <w:left w:val="nil"/>
              <w:bottom w:val="single" w:sz="4" w:space="0" w:color="auto"/>
              <w:right w:val="single" w:sz="4" w:space="0" w:color="auto"/>
            </w:tcBorders>
            <w:shd w:val="clear" w:color="000000" w:fill="92D050"/>
            <w:noWrap/>
            <w:vAlign w:val="bottom"/>
            <w:hideMark/>
          </w:tcPr>
          <w:p w14:paraId="5F27FDA6" w14:textId="5269A8E0"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0</w:t>
            </w:r>
          </w:p>
        </w:tc>
      </w:tr>
      <w:tr w:rsidR="00F63D36" w:rsidRPr="00B75AE3" w14:paraId="01082C7C" w14:textId="77777777" w:rsidTr="00F63D36">
        <w:trPr>
          <w:trHeight w:val="264"/>
          <w:jc w:val="center"/>
        </w:trPr>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121E4245"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25</w:t>
            </w:r>
          </w:p>
        </w:tc>
        <w:tc>
          <w:tcPr>
            <w:tcW w:w="620" w:type="dxa"/>
            <w:tcBorders>
              <w:top w:val="nil"/>
              <w:left w:val="nil"/>
              <w:bottom w:val="single" w:sz="4" w:space="0" w:color="auto"/>
              <w:right w:val="single" w:sz="4" w:space="0" w:color="auto"/>
            </w:tcBorders>
            <w:shd w:val="clear" w:color="auto" w:fill="auto"/>
            <w:vAlign w:val="center"/>
            <w:hideMark/>
          </w:tcPr>
          <w:p w14:paraId="2DE10AD6"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133</w:t>
            </w:r>
          </w:p>
        </w:tc>
        <w:tc>
          <w:tcPr>
            <w:tcW w:w="620" w:type="dxa"/>
            <w:tcBorders>
              <w:top w:val="nil"/>
              <w:left w:val="nil"/>
              <w:bottom w:val="single" w:sz="4" w:space="0" w:color="auto"/>
              <w:right w:val="single" w:sz="4" w:space="0" w:color="auto"/>
            </w:tcBorders>
            <w:shd w:val="clear" w:color="auto" w:fill="auto"/>
            <w:vAlign w:val="center"/>
            <w:hideMark/>
          </w:tcPr>
          <w:p w14:paraId="2D698F4E"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65</w:t>
            </w:r>
          </w:p>
        </w:tc>
        <w:tc>
          <w:tcPr>
            <w:tcW w:w="620" w:type="dxa"/>
            <w:tcBorders>
              <w:top w:val="nil"/>
              <w:left w:val="nil"/>
              <w:bottom w:val="single" w:sz="4" w:space="0" w:color="auto"/>
              <w:right w:val="single" w:sz="4" w:space="0" w:color="auto"/>
            </w:tcBorders>
            <w:shd w:val="clear" w:color="auto" w:fill="auto"/>
            <w:vAlign w:val="center"/>
            <w:hideMark/>
          </w:tcPr>
          <w:p w14:paraId="45AB7BD4"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31</w:t>
            </w:r>
          </w:p>
        </w:tc>
        <w:tc>
          <w:tcPr>
            <w:tcW w:w="620" w:type="dxa"/>
            <w:tcBorders>
              <w:top w:val="nil"/>
              <w:left w:val="nil"/>
              <w:bottom w:val="single" w:sz="4" w:space="0" w:color="auto"/>
              <w:right w:val="single" w:sz="4" w:space="0" w:color="auto"/>
            </w:tcBorders>
            <w:shd w:val="clear" w:color="auto" w:fill="auto"/>
            <w:noWrap/>
            <w:vAlign w:val="bottom"/>
            <w:hideMark/>
          </w:tcPr>
          <w:p w14:paraId="5EBA3B59"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134</w:t>
            </w:r>
          </w:p>
        </w:tc>
        <w:tc>
          <w:tcPr>
            <w:tcW w:w="620" w:type="dxa"/>
            <w:tcBorders>
              <w:top w:val="nil"/>
              <w:left w:val="nil"/>
              <w:bottom w:val="single" w:sz="4" w:space="0" w:color="auto"/>
              <w:right w:val="single" w:sz="4" w:space="0" w:color="auto"/>
            </w:tcBorders>
            <w:shd w:val="clear" w:color="auto" w:fill="auto"/>
            <w:noWrap/>
            <w:vAlign w:val="bottom"/>
            <w:hideMark/>
          </w:tcPr>
          <w:p w14:paraId="29839C2D"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65</w:t>
            </w:r>
          </w:p>
        </w:tc>
        <w:tc>
          <w:tcPr>
            <w:tcW w:w="620" w:type="dxa"/>
            <w:tcBorders>
              <w:top w:val="nil"/>
              <w:left w:val="nil"/>
              <w:bottom w:val="single" w:sz="4" w:space="0" w:color="auto"/>
              <w:right w:val="single" w:sz="4" w:space="0" w:color="auto"/>
            </w:tcBorders>
            <w:shd w:val="clear" w:color="auto" w:fill="auto"/>
            <w:noWrap/>
            <w:vAlign w:val="bottom"/>
            <w:hideMark/>
          </w:tcPr>
          <w:p w14:paraId="390B31D4"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31</w:t>
            </w:r>
          </w:p>
        </w:tc>
        <w:tc>
          <w:tcPr>
            <w:tcW w:w="556" w:type="dxa"/>
            <w:tcBorders>
              <w:top w:val="nil"/>
              <w:left w:val="nil"/>
              <w:bottom w:val="single" w:sz="4" w:space="0" w:color="auto"/>
              <w:right w:val="single" w:sz="4" w:space="0" w:color="auto"/>
            </w:tcBorders>
            <w:shd w:val="clear" w:color="000000" w:fill="FFC000"/>
            <w:noWrap/>
            <w:vAlign w:val="bottom"/>
            <w:hideMark/>
          </w:tcPr>
          <w:p w14:paraId="7D8376CA" w14:textId="6D916DFC"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-1</w:t>
            </w:r>
          </w:p>
        </w:tc>
        <w:tc>
          <w:tcPr>
            <w:tcW w:w="533" w:type="dxa"/>
            <w:gridSpan w:val="2"/>
            <w:tcBorders>
              <w:top w:val="nil"/>
              <w:left w:val="nil"/>
              <w:bottom w:val="single" w:sz="4" w:space="0" w:color="auto"/>
              <w:right w:val="single" w:sz="4" w:space="0" w:color="auto"/>
            </w:tcBorders>
            <w:shd w:val="clear" w:color="000000" w:fill="92D050"/>
            <w:noWrap/>
            <w:vAlign w:val="bottom"/>
            <w:hideMark/>
          </w:tcPr>
          <w:p w14:paraId="37712F5A" w14:textId="3C007143"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0</w:t>
            </w:r>
          </w:p>
        </w:tc>
        <w:tc>
          <w:tcPr>
            <w:tcW w:w="508" w:type="dxa"/>
            <w:tcBorders>
              <w:top w:val="nil"/>
              <w:left w:val="nil"/>
              <w:bottom w:val="single" w:sz="4" w:space="0" w:color="auto"/>
              <w:right w:val="single" w:sz="4" w:space="0" w:color="auto"/>
            </w:tcBorders>
            <w:shd w:val="clear" w:color="000000" w:fill="92D050"/>
            <w:noWrap/>
            <w:vAlign w:val="bottom"/>
            <w:hideMark/>
          </w:tcPr>
          <w:p w14:paraId="0C324EDD" w14:textId="140B6587"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0</w:t>
            </w:r>
          </w:p>
        </w:tc>
      </w:tr>
      <w:tr w:rsidR="00F63D36" w:rsidRPr="00B75AE3" w14:paraId="71783EF3" w14:textId="77777777" w:rsidTr="00F63D36">
        <w:trPr>
          <w:trHeight w:val="264"/>
          <w:jc w:val="center"/>
        </w:trPr>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319F4D5E"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30</w:t>
            </w:r>
          </w:p>
        </w:tc>
        <w:tc>
          <w:tcPr>
            <w:tcW w:w="620" w:type="dxa"/>
            <w:tcBorders>
              <w:top w:val="nil"/>
              <w:left w:val="nil"/>
              <w:bottom w:val="single" w:sz="4" w:space="0" w:color="auto"/>
              <w:right w:val="single" w:sz="4" w:space="0" w:color="auto"/>
            </w:tcBorders>
            <w:shd w:val="clear" w:color="auto" w:fill="auto"/>
            <w:vAlign w:val="center"/>
            <w:hideMark/>
          </w:tcPr>
          <w:p w14:paraId="4767CB18"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160</w:t>
            </w:r>
          </w:p>
        </w:tc>
        <w:tc>
          <w:tcPr>
            <w:tcW w:w="620" w:type="dxa"/>
            <w:tcBorders>
              <w:top w:val="nil"/>
              <w:left w:val="nil"/>
              <w:bottom w:val="single" w:sz="4" w:space="0" w:color="auto"/>
              <w:right w:val="single" w:sz="4" w:space="0" w:color="auto"/>
            </w:tcBorders>
            <w:shd w:val="clear" w:color="auto" w:fill="auto"/>
            <w:vAlign w:val="center"/>
            <w:hideMark/>
          </w:tcPr>
          <w:p w14:paraId="73E722AF"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78</w:t>
            </w:r>
          </w:p>
        </w:tc>
        <w:tc>
          <w:tcPr>
            <w:tcW w:w="620" w:type="dxa"/>
            <w:tcBorders>
              <w:top w:val="nil"/>
              <w:left w:val="nil"/>
              <w:bottom w:val="single" w:sz="4" w:space="0" w:color="auto"/>
              <w:right w:val="single" w:sz="4" w:space="0" w:color="auto"/>
            </w:tcBorders>
            <w:shd w:val="clear" w:color="auto" w:fill="auto"/>
            <w:vAlign w:val="center"/>
            <w:hideMark/>
          </w:tcPr>
          <w:p w14:paraId="052A7655"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38</w:t>
            </w:r>
          </w:p>
        </w:tc>
        <w:tc>
          <w:tcPr>
            <w:tcW w:w="620" w:type="dxa"/>
            <w:tcBorders>
              <w:top w:val="nil"/>
              <w:left w:val="nil"/>
              <w:bottom w:val="single" w:sz="4" w:space="0" w:color="auto"/>
              <w:right w:val="single" w:sz="4" w:space="0" w:color="auto"/>
            </w:tcBorders>
            <w:shd w:val="clear" w:color="auto" w:fill="auto"/>
            <w:noWrap/>
            <w:vAlign w:val="bottom"/>
            <w:hideMark/>
          </w:tcPr>
          <w:p w14:paraId="490A5DCA"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161</w:t>
            </w:r>
          </w:p>
        </w:tc>
        <w:tc>
          <w:tcPr>
            <w:tcW w:w="620" w:type="dxa"/>
            <w:tcBorders>
              <w:top w:val="nil"/>
              <w:left w:val="nil"/>
              <w:bottom w:val="single" w:sz="4" w:space="0" w:color="auto"/>
              <w:right w:val="single" w:sz="4" w:space="0" w:color="auto"/>
            </w:tcBorders>
            <w:shd w:val="clear" w:color="auto" w:fill="auto"/>
            <w:noWrap/>
            <w:vAlign w:val="bottom"/>
            <w:hideMark/>
          </w:tcPr>
          <w:p w14:paraId="2DBCF017"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79</w:t>
            </w:r>
          </w:p>
        </w:tc>
        <w:tc>
          <w:tcPr>
            <w:tcW w:w="620" w:type="dxa"/>
            <w:tcBorders>
              <w:top w:val="nil"/>
              <w:left w:val="nil"/>
              <w:bottom w:val="single" w:sz="4" w:space="0" w:color="auto"/>
              <w:right w:val="single" w:sz="4" w:space="0" w:color="auto"/>
            </w:tcBorders>
            <w:shd w:val="clear" w:color="auto" w:fill="auto"/>
            <w:noWrap/>
            <w:vAlign w:val="bottom"/>
            <w:hideMark/>
          </w:tcPr>
          <w:p w14:paraId="445376CD"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38</w:t>
            </w:r>
          </w:p>
        </w:tc>
        <w:tc>
          <w:tcPr>
            <w:tcW w:w="556" w:type="dxa"/>
            <w:tcBorders>
              <w:top w:val="nil"/>
              <w:left w:val="nil"/>
              <w:bottom w:val="single" w:sz="4" w:space="0" w:color="auto"/>
              <w:right w:val="single" w:sz="4" w:space="0" w:color="auto"/>
            </w:tcBorders>
            <w:shd w:val="clear" w:color="000000" w:fill="FFC000"/>
            <w:noWrap/>
            <w:vAlign w:val="bottom"/>
            <w:hideMark/>
          </w:tcPr>
          <w:p w14:paraId="51016526" w14:textId="5CEE2BF8"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-1</w:t>
            </w:r>
          </w:p>
        </w:tc>
        <w:tc>
          <w:tcPr>
            <w:tcW w:w="533" w:type="dxa"/>
            <w:gridSpan w:val="2"/>
            <w:tcBorders>
              <w:top w:val="nil"/>
              <w:left w:val="nil"/>
              <w:bottom w:val="single" w:sz="4" w:space="0" w:color="auto"/>
              <w:right w:val="single" w:sz="4" w:space="0" w:color="auto"/>
            </w:tcBorders>
            <w:shd w:val="clear" w:color="000000" w:fill="FFC000"/>
            <w:noWrap/>
            <w:vAlign w:val="bottom"/>
            <w:hideMark/>
          </w:tcPr>
          <w:p w14:paraId="3D923201" w14:textId="49C9054A"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-1</w:t>
            </w:r>
          </w:p>
        </w:tc>
        <w:tc>
          <w:tcPr>
            <w:tcW w:w="508" w:type="dxa"/>
            <w:tcBorders>
              <w:top w:val="nil"/>
              <w:left w:val="nil"/>
              <w:bottom w:val="single" w:sz="4" w:space="0" w:color="auto"/>
              <w:right w:val="single" w:sz="4" w:space="0" w:color="auto"/>
            </w:tcBorders>
            <w:shd w:val="clear" w:color="000000" w:fill="92D050"/>
            <w:noWrap/>
            <w:vAlign w:val="bottom"/>
            <w:hideMark/>
          </w:tcPr>
          <w:p w14:paraId="2C9529FB" w14:textId="14AFD47C"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0</w:t>
            </w:r>
          </w:p>
        </w:tc>
      </w:tr>
      <w:tr w:rsidR="00F63D36" w:rsidRPr="00B75AE3" w14:paraId="72C26B6A" w14:textId="77777777" w:rsidTr="00F63D36">
        <w:trPr>
          <w:trHeight w:val="264"/>
          <w:jc w:val="center"/>
        </w:trPr>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2D13D608"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40</w:t>
            </w:r>
          </w:p>
        </w:tc>
        <w:tc>
          <w:tcPr>
            <w:tcW w:w="620" w:type="dxa"/>
            <w:tcBorders>
              <w:top w:val="nil"/>
              <w:left w:val="nil"/>
              <w:bottom w:val="single" w:sz="4" w:space="0" w:color="auto"/>
              <w:right w:val="single" w:sz="4" w:space="0" w:color="auto"/>
            </w:tcBorders>
            <w:shd w:val="clear" w:color="auto" w:fill="auto"/>
            <w:vAlign w:val="center"/>
            <w:hideMark/>
          </w:tcPr>
          <w:p w14:paraId="6D06BE01"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216</w:t>
            </w:r>
          </w:p>
        </w:tc>
        <w:tc>
          <w:tcPr>
            <w:tcW w:w="620" w:type="dxa"/>
            <w:tcBorders>
              <w:top w:val="nil"/>
              <w:left w:val="nil"/>
              <w:bottom w:val="single" w:sz="4" w:space="0" w:color="auto"/>
              <w:right w:val="single" w:sz="4" w:space="0" w:color="auto"/>
            </w:tcBorders>
            <w:shd w:val="clear" w:color="auto" w:fill="auto"/>
            <w:vAlign w:val="center"/>
            <w:hideMark/>
          </w:tcPr>
          <w:p w14:paraId="36B4290B"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106</w:t>
            </w:r>
          </w:p>
        </w:tc>
        <w:tc>
          <w:tcPr>
            <w:tcW w:w="620" w:type="dxa"/>
            <w:tcBorders>
              <w:top w:val="nil"/>
              <w:left w:val="nil"/>
              <w:bottom w:val="single" w:sz="4" w:space="0" w:color="auto"/>
              <w:right w:val="single" w:sz="4" w:space="0" w:color="auto"/>
            </w:tcBorders>
            <w:shd w:val="clear" w:color="auto" w:fill="auto"/>
            <w:vAlign w:val="center"/>
            <w:hideMark/>
          </w:tcPr>
          <w:p w14:paraId="38976E6D"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51</w:t>
            </w:r>
          </w:p>
        </w:tc>
        <w:tc>
          <w:tcPr>
            <w:tcW w:w="620" w:type="dxa"/>
            <w:tcBorders>
              <w:top w:val="nil"/>
              <w:left w:val="nil"/>
              <w:bottom w:val="single" w:sz="4" w:space="0" w:color="auto"/>
              <w:right w:val="single" w:sz="4" w:space="0" w:color="auto"/>
            </w:tcBorders>
            <w:shd w:val="clear" w:color="auto" w:fill="auto"/>
            <w:noWrap/>
            <w:vAlign w:val="bottom"/>
            <w:hideMark/>
          </w:tcPr>
          <w:p w14:paraId="247426DD"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215</w:t>
            </w:r>
          </w:p>
        </w:tc>
        <w:tc>
          <w:tcPr>
            <w:tcW w:w="620" w:type="dxa"/>
            <w:tcBorders>
              <w:top w:val="nil"/>
              <w:left w:val="nil"/>
              <w:bottom w:val="single" w:sz="4" w:space="0" w:color="auto"/>
              <w:right w:val="single" w:sz="4" w:space="0" w:color="auto"/>
            </w:tcBorders>
            <w:shd w:val="clear" w:color="auto" w:fill="auto"/>
            <w:noWrap/>
            <w:vAlign w:val="bottom"/>
            <w:hideMark/>
          </w:tcPr>
          <w:p w14:paraId="1703A8E8"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107</w:t>
            </w:r>
          </w:p>
        </w:tc>
        <w:tc>
          <w:tcPr>
            <w:tcW w:w="620" w:type="dxa"/>
            <w:tcBorders>
              <w:top w:val="nil"/>
              <w:left w:val="nil"/>
              <w:bottom w:val="single" w:sz="4" w:space="0" w:color="auto"/>
              <w:right w:val="single" w:sz="4" w:space="0" w:color="auto"/>
            </w:tcBorders>
            <w:shd w:val="clear" w:color="auto" w:fill="auto"/>
            <w:noWrap/>
            <w:vAlign w:val="bottom"/>
            <w:hideMark/>
          </w:tcPr>
          <w:p w14:paraId="02737DBD"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52</w:t>
            </w:r>
          </w:p>
        </w:tc>
        <w:tc>
          <w:tcPr>
            <w:tcW w:w="556" w:type="dxa"/>
            <w:tcBorders>
              <w:top w:val="nil"/>
              <w:left w:val="nil"/>
              <w:bottom w:val="single" w:sz="4" w:space="0" w:color="auto"/>
              <w:right w:val="single" w:sz="4" w:space="0" w:color="auto"/>
            </w:tcBorders>
            <w:shd w:val="clear" w:color="000000" w:fill="FFFF00"/>
            <w:noWrap/>
            <w:vAlign w:val="bottom"/>
            <w:hideMark/>
          </w:tcPr>
          <w:p w14:paraId="23AB6AA4" w14:textId="53078AA1"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1</w:t>
            </w:r>
          </w:p>
        </w:tc>
        <w:tc>
          <w:tcPr>
            <w:tcW w:w="533" w:type="dxa"/>
            <w:gridSpan w:val="2"/>
            <w:tcBorders>
              <w:top w:val="nil"/>
              <w:left w:val="nil"/>
              <w:bottom w:val="single" w:sz="4" w:space="0" w:color="auto"/>
              <w:right w:val="single" w:sz="4" w:space="0" w:color="auto"/>
            </w:tcBorders>
            <w:shd w:val="clear" w:color="auto" w:fill="FFC000"/>
            <w:noWrap/>
            <w:vAlign w:val="bottom"/>
            <w:hideMark/>
          </w:tcPr>
          <w:p w14:paraId="0226EB27" w14:textId="2BA85D3E"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-1</w:t>
            </w:r>
          </w:p>
        </w:tc>
        <w:tc>
          <w:tcPr>
            <w:tcW w:w="508" w:type="dxa"/>
            <w:tcBorders>
              <w:top w:val="nil"/>
              <w:left w:val="nil"/>
              <w:bottom w:val="single" w:sz="4" w:space="0" w:color="auto"/>
              <w:right w:val="single" w:sz="4" w:space="0" w:color="auto"/>
            </w:tcBorders>
            <w:shd w:val="clear" w:color="000000" w:fill="FFC000"/>
            <w:noWrap/>
            <w:vAlign w:val="bottom"/>
            <w:hideMark/>
          </w:tcPr>
          <w:p w14:paraId="2A17EBEB" w14:textId="2F837B0C"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-1</w:t>
            </w:r>
          </w:p>
        </w:tc>
      </w:tr>
      <w:tr w:rsidR="00F63D36" w:rsidRPr="00B75AE3" w14:paraId="18F7E546" w14:textId="77777777" w:rsidTr="00F63D36">
        <w:trPr>
          <w:trHeight w:val="264"/>
          <w:jc w:val="center"/>
        </w:trPr>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279FB892"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50</w:t>
            </w:r>
          </w:p>
        </w:tc>
        <w:tc>
          <w:tcPr>
            <w:tcW w:w="620" w:type="dxa"/>
            <w:tcBorders>
              <w:top w:val="nil"/>
              <w:left w:val="nil"/>
              <w:bottom w:val="single" w:sz="4" w:space="0" w:color="auto"/>
              <w:right w:val="single" w:sz="4" w:space="0" w:color="auto"/>
            </w:tcBorders>
            <w:shd w:val="clear" w:color="auto" w:fill="auto"/>
            <w:vAlign w:val="center"/>
            <w:hideMark/>
          </w:tcPr>
          <w:p w14:paraId="357884A5"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270</w:t>
            </w:r>
          </w:p>
        </w:tc>
        <w:tc>
          <w:tcPr>
            <w:tcW w:w="620" w:type="dxa"/>
            <w:tcBorders>
              <w:top w:val="nil"/>
              <w:left w:val="nil"/>
              <w:bottom w:val="single" w:sz="4" w:space="0" w:color="auto"/>
              <w:right w:val="single" w:sz="4" w:space="0" w:color="auto"/>
            </w:tcBorders>
            <w:shd w:val="clear" w:color="auto" w:fill="auto"/>
            <w:vAlign w:val="center"/>
            <w:hideMark/>
          </w:tcPr>
          <w:p w14:paraId="6B856BFB"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133</w:t>
            </w:r>
          </w:p>
        </w:tc>
        <w:tc>
          <w:tcPr>
            <w:tcW w:w="620" w:type="dxa"/>
            <w:tcBorders>
              <w:top w:val="nil"/>
              <w:left w:val="nil"/>
              <w:bottom w:val="single" w:sz="4" w:space="0" w:color="auto"/>
              <w:right w:val="single" w:sz="4" w:space="0" w:color="auto"/>
            </w:tcBorders>
            <w:shd w:val="clear" w:color="auto" w:fill="auto"/>
            <w:vAlign w:val="center"/>
            <w:hideMark/>
          </w:tcPr>
          <w:p w14:paraId="788C654E"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65</w:t>
            </w:r>
          </w:p>
        </w:tc>
        <w:tc>
          <w:tcPr>
            <w:tcW w:w="620" w:type="dxa"/>
            <w:tcBorders>
              <w:top w:val="nil"/>
              <w:left w:val="nil"/>
              <w:bottom w:val="single" w:sz="4" w:space="0" w:color="auto"/>
              <w:right w:val="single" w:sz="4" w:space="0" w:color="auto"/>
            </w:tcBorders>
            <w:shd w:val="clear" w:color="auto" w:fill="auto"/>
            <w:noWrap/>
            <w:vAlign w:val="bottom"/>
            <w:hideMark/>
          </w:tcPr>
          <w:p w14:paraId="3D175B8B"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270</w:t>
            </w:r>
          </w:p>
        </w:tc>
        <w:tc>
          <w:tcPr>
            <w:tcW w:w="620" w:type="dxa"/>
            <w:tcBorders>
              <w:top w:val="nil"/>
              <w:left w:val="nil"/>
              <w:bottom w:val="single" w:sz="4" w:space="0" w:color="auto"/>
              <w:right w:val="single" w:sz="4" w:space="0" w:color="auto"/>
            </w:tcBorders>
            <w:shd w:val="clear" w:color="auto" w:fill="auto"/>
            <w:noWrap/>
            <w:vAlign w:val="bottom"/>
            <w:hideMark/>
          </w:tcPr>
          <w:p w14:paraId="441FC73A"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134</w:t>
            </w:r>
          </w:p>
        </w:tc>
        <w:tc>
          <w:tcPr>
            <w:tcW w:w="620" w:type="dxa"/>
            <w:tcBorders>
              <w:top w:val="nil"/>
              <w:left w:val="nil"/>
              <w:bottom w:val="single" w:sz="4" w:space="0" w:color="auto"/>
              <w:right w:val="single" w:sz="4" w:space="0" w:color="auto"/>
            </w:tcBorders>
            <w:shd w:val="clear" w:color="auto" w:fill="auto"/>
            <w:noWrap/>
            <w:vAlign w:val="bottom"/>
            <w:hideMark/>
          </w:tcPr>
          <w:p w14:paraId="122ACCD9"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66</w:t>
            </w:r>
          </w:p>
        </w:tc>
        <w:tc>
          <w:tcPr>
            <w:tcW w:w="556" w:type="dxa"/>
            <w:tcBorders>
              <w:top w:val="nil"/>
              <w:left w:val="nil"/>
              <w:bottom w:val="single" w:sz="4" w:space="0" w:color="auto"/>
              <w:right w:val="single" w:sz="4" w:space="0" w:color="auto"/>
            </w:tcBorders>
            <w:shd w:val="clear" w:color="000000" w:fill="92D050"/>
            <w:noWrap/>
            <w:vAlign w:val="bottom"/>
            <w:hideMark/>
          </w:tcPr>
          <w:p w14:paraId="0F014CF8" w14:textId="416B9352"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0</w:t>
            </w:r>
          </w:p>
        </w:tc>
        <w:tc>
          <w:tcPr>
            <w:tcW w:w="533" w:type="dxa"/>
            <w:gridSpan w:val="2"/>
            <w:tcBorders>
              <w:top w:val="nil"/>
              <w:left w:val="nil"/>
              <w:bottom w:val="single" w:sz="4" w:space="0" w:color="auto"/>
              <w:right w:val="single" w:sz="4" w:space="0" w:color="auto"/>
            </w:tcBorders>
            <w:shd w:val="clear" w:color="000000" w:fill="FFC000"/>
            <w:noWrap/>
            <w:vAlign w:val="bottom"/>
            <w:hideMark/>
          </w:tcPr>
          <w:p w14:paraId="3FF2790C" w14:textId="231D23AE"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-1</w:t>
            </w:r>
          </w:p>
        </w:tc>
        <w:tc>
          <w:tcPr>
            <w:tcW w:w="508" w:type="dxa"/>
            <w:tcBorders>
              <w:top w:val="nil"/>
              <w:left w:val="nil"/>
              <w:bottom w:val="single" w:sz="4" w:space="0" w:color="auto"/>
              <w:right w:val="single" w:sz="4" w:space="0" w:color="auto"/>
            </w:tcBorders>
            <w:shd w:val="clear" w:color="000000" w:fill="FFC000"/>
            <w:noWrap/>
            <w:vAlign w:val="bottom"/>
            <w:hideMark/>
          </w:tcPr>
          <w:p w14:paraId="541A889E" w14:textId="70662069"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-1</w:t>
            </w:r>
          </w:p>
        </w:tc>
      </w:tr>
      <w:tr w:rsidR="00F63D36" w:rsidRPr="00B75AE3" w14:paraId="28DC9B68" w14:textId="77777777" w:rsidTr="00F63D36">
        <w:trPr>
          <w:trHeight w:val="264"/>
          <w:jc w:val="center"/>
        </w:trPr>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79237A07"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60</w:t>
            </w:r>
          </w:p>
        </w:tc>
        <w:tc>
          <w:tcPr>
            <w:tcW w:w="620" w:type="dxa"/>
            <w:tcBorders>
              <w:top w:val="nil"/>
              <w:left w:val="nil"/>
              <w:bottom w:val="single" w:sz="4" w:space="0" w:color="auto"/>
              <w:right w:val="single" w:sz="4" w:space="0" w:color="auto"/>
            </w:tcBorders>
            <w:shd w:val="clear" w:color="000000" w:fill="000000"/>
            <w:noWrap/>
            <w:vAlign w:val="center"/>
          </w:tcPr>
          <w:p w14:paraId="610D694F" w14:textId="5AB404E5" w:rsidR="00F63D36" w:rsidRPr="003D5A21" w:rsidRDefault="00F63D36" w:rsidP="003D5A21">
            <w:pPr>
              <w:overflowPunct/>
              <w:autoSpaceDE/>
              <w:autoSpaceDN/>
              <w:adjustRightInd/>
              <w:spacing w:after="0"/>
              <w:jc w:val="center"/>
              <w:textAlignment w:val="auto"/>
              <w:rPr>
                <w:rFonts w:asciiTheme="minorHAnsi" w:hAnsiTheme="minorHAnsi"/>
                <w:color w:val="000000"/>
              </w:rPr>
            </w:pPr>
          </w:p>
        </w:tc>
        <w:tc>
          <w:tcPr>
            <w:tcW w:w="620" w:type="dxa"/>
            <w:tcBorders>
              <w:top w:val="nil"/>
              <w:left w:val="nil"/>
              <w:bottom w:val="single" w:sz="4" w:space="0" w:color="auto"/>
              <w:right w:val="single" w:sz="4" w:space="0" w:color="auto"/>
            </w:tcBorders>
            <w:shd w:val="clear" w:color="auto" w:fill="auto"/>
            <w:vAlign w:val="center"/>
            <w:hideMark/>
          </w:tcPr>
          <w:p w14:paraId="5A8DE4D3"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162</w:t>
            </w:r>
          </w:p>
        </w:tc>
        <w:tc>
          <w:tcPr>
            <w:tcW w:w="620" w:type="dxa"/>
            <w:tcBorders>
              <w:top w:val="nil"/>
              <w:left w:val="nil"/>
              <w:bottom w:val="single" w:sz="4" w:space="0" w:color="auto"/>
              <w:right w:val="single" w:sz="4" w:space="0" w:color="auto"/>
            </w:tcBorders>
            <w:shd w:val="clear" w:color="auto" w:fill="auto"/>
            <w:vAlign w:val="center"/>
            <w:hideMark/>
          </w:tcPr>
          <w:p w14:paraId="1090466D"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79</w:t>
            </w:r>
          </w:p>
        </w:tc>
        <w:tc>
          <w:tcPr>
            <w:tcW w:w="620" w:type="dxa"/>
            <w:tcBorders>
              <w:top w:val="nil"/>
              <w:left w:val="nil"/>
              <w:bottom w:val="single" w:sz="4" w:space="0" w:color="auto"/>
              <w:right w:val="single" w:sz="4" w:space="0" w:color="auto"/>
            </w:tcBorders>
            <w:shd w:val="clear" w:color="000000" w:fill="000000"/>
            <w:noWrap/>
            <w:vAlign w:val="bottom"/>
          </w:tcPr>
          <w:p w14:paraId="09EA79ED" w14:textId="199485E0" w:rsidR="00F63D36" w:rsidRPr="003D5A21" w:rsidRDefault="00F63D36" w:rsidP="003D5A21">
            <w:pPr>
              <w:overflowPunct/>
              <w:autoSpaceDE/>
              <w:autoSpaceDN/>
              <w:adjustRightInd/>
              <w:spacing w:after="0"/>
              <w:jc w:val="center"/>
              <w:textAlignment w:val="auto"/>
              <w:rPr>
                <w:rFonts w:asciiTheme="minorHAnsi" w:hAnsiTheme="minorHAnsi"/>
                <w:color w:val="000000"/>
              </w:rPr>
            </w:pPr>
          </w:p>
        </w:tc>
        <w:tc>
          <w:tcPr>
            <w:tcW w:w="620" w:type="dxa"/>
            <w:tcBorders>
              <w:top w:val="nil"/>
              <w:left w:val="nil"/>
              <w:bottom w:val="single" w:sz="4" w:space="0" w:color="auto"/>
              <w:right w:val="single" w:sz="4" w:space="0" w:color="auto"/>
            </w:tcBorders>
            <w:shd w:val="clear" w:color="auto" w:fill="auto"/>
            <w:noWrap/>
            <w:vAlign w:val="bottom"/>
            <w:hideMark/>
          </w:tcPr>
          <w:p w14:paraId="035420AA"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162</w:t>
            </w:r>
          </w:p>
        </w:tc>
        <w:tc>
          <w:tcPr>
            <w:tcW w:w="620" w:type="dxa"/>
            <w:tcBorders>
              <w:top w:val="nil"/>
              <w:left w:val="nil"/>
              <w:bottom w:val="single" w:sz="4" w:space="0" w:color="auto"/>
              <w:right w:val="single" w:sz="4" w:space="0" w:color="auto"/>
            </w:tcBorders>
            <w:shd w:val="clear" w:color="auto" w:fill="auto"/>
            <w:noWrap/>
            <w:vAlign w:val="bottom"/>
            <w:hideMark/>
          </w:tcPr>
          <w:p w14:paraId="4D75C9A3"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79</w:t>
            </w:r>
          </w:p>
        </w:tc>
        <w:tc>
          <w:tcPr>
            <w:tcW w:w="556" w:type="dxa"/>
            <w:tcBorders>
              <w:top w:val="nil"/>
              <w:left w:val="nil"/>
              <w:bottom w:val="single" w:sz="4" w:space="0" w:color="auto"/>
              <w:right w:val="single" w:sz="4" w:space="0" w:color="auto"/>
            </w:tcBorders>
            <w:shd w:val="clear" w:color="000000" w:fill="000000"/>
            <w:noWrap/>
            <w:vAlign w:val="bottom"/>
          </w:tcPr>
          <w:p w14:paraId="3AC54EAE" w14:textId="3C3C2B5C"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 </w:t>
            </w:r>
          </w:p>
        </w:tc>
        <w:tc>
          <w:tcPr>
            <w:tcW w:w="533" w:type="dxa"/>
            <w:gridSpan w:val="2"/>
            <w:tcBorders>
              <w:top w:val="nil"/>
              <w:left w:val="nil"/>
              <w:bottom w:val="single" w:sz="4" w:space="0" w:color="auto"/>
              <w:right w:val="single" w:sz="4" w:space="0" w:color="auto"/>
            </w:tcBorders>
            <w:shd w:val="clear" w:color="000000" w:fill="92D050"/>
            <w:noWrap/>
            <w:vAlign w:val="bottom"/>
            <w:hideMark/>
          </w:tcPr>
          <w:p w14:paraId="3E68393C" w14:textId="311B96BB"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0</w:t>
            </w:r>
          </w:p>
        </w:tc>
        <w:tc>
          <w:tcPr>
            <w:tcW w:w="508" w:type="dxa"/>
            <w:tcBorders>
              <w:top w:val="nil"/>
              <w:left w:val="nil"/>
              <w:bottom w:val="single" w:sz="4" w:space="0" w:color="auto"/>
              <w:right w:val="single" w:sz="4" w:space="0" w:color="auto"/>
            </w:tcBorders>
            <w:shd w:val="clear" w:color="000000" w:fill="92D050"/>
            <w:noWrap/>
            <w:vAlign w:val="bottom"/>
            <w:hideMark/>
          </w:tcPr>
          <w:p w14:paraId="3F688C56" w14:textId="617B7B7A"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0</w:t>
            </w:r>
          </w:p>
        </w:tc>
      </w:tr>
      <w:tr w:rsidR="00F63D36" w:rsidRPr="00B75AE3" w14:paraId="0A99AB18" w14:textId="77777777" w:rsidTr="00F63D36">
        <w:trPr>
          <w:trHeight w:val="264"/>
          <w:jc w:val="center"/>
        </w:trPr>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3242A84B"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70</w:t>
            </w:r>
          </w:p>
        </w:tc>
        <w:tc>
          <w:tcPr>
            <w:tcW w:w="620" w:type="dxa"/>
            <w:tcBorders>
              <w:top w:val="nil"/>
              <w:left w:val="nil"/>
              <w:bottom w:val="single" w:sz="4" w:space="0" w:color="auto"/>
              <w:right w:val="single" w:sz="4" w:space="0" w:color="auto"/>
            </w:tcBorders>
            <w:shd w:val="clear" w:color="000000" w:fill="000000"/>
            <w:noWrap/>
            <w:vAlign w:val="center"/>
          </w:tcPr>
          <w:p w14:paraId="423F11F9" w14:textId="472CB5F5" w:rsidR="00F63D36" w:rsidRPr="003D5A21" w:rsidRDefault="00F63D36" w:rsidP="003D5A21">
            <w:pPr>
              <w:overflowPunct/>
              <w:autoSpaceDE/>
              <w:autoSpaceDN/>
              <w:adjustRightInd/>
              <w:spacing w:after="0"/>
              <w:jc w:val="center"/>
              <w:textAlignment w:val="auto"/>
              <w:rPr>
                <w:rFonts w:asciiTheme="minorHAnsi" w:hAnsiTheme="minorHAnsi"/>
                <w:color w:val="000000"/>
              </w:rPr>
            </w:pPr>
          </w:p>
        </w:tc>
        <w:tc>
          <w:tcPr>
            <w:tcW w:w="620" w:type="dxa"/>
            <w:tcBorders>
              <w:top w:val="nil"/>
              <w:left w:val="nil"/>
              <w:bottom w:val="single" w:sz="4" w:space="0" w:color="auto"/>
              <w:right w:val="single" w:sz="4" w:space="0" w:color="auto"/>
            </w:tcBorders>
            <w:shd w:val="clear" w:color="auto" w:fill="auto"/>
            <w:vAlign w:val="center"/>
            <w:hideMark/>
          </w:tcPr>
          <w:p w14:paraId="08A1574D"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189</w:t>
            </w:r>
          </w:p>
        </w:tc>
        <w:tc>
          <w:tcPr>
            <w:tcW w:w="620" w:type="dxa"/>
            <w:tcBorders>
              <w:top w:val="nil"/>
              <w:left w:val="nil"/>
              <w:bottom w:val="single" w:sz="4" w:space="0" w:color="auto"/>
              <w:right w:val="single" w:sz="4" w:space="0" w:color="auto"/>
            </w:tcBorders>
            <w:shd w:val="clear" w:color="auto" w:fill="auto"/>
            <w:vAlign w:val="center"/>
            <w:hideMark/>
          </w:tcPr>
          <w:p w14:paraId="309ED048"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93</w:t>
            </w:r>
          </w:p>
        </w:tc>
        <w:tc>
          <w:tcPr>
            <w:tcW w:w="620" w:type="dxa"/>
            <w:tcBorders>
              <w:top w:val="nil"/>
              <w:left w:val="nil"/>
              <w:bottom w:val="single" w:sz="4" w:space="0" w:color="auto"/>
              <w:right w:val="single" w:sz="4" w:space="0" w:color="auto"/>
            </w:tcBorders>
            <w:shd w:val="clear" w:color="000000" w:fill="000000"/>
            <w:noWrap/>
            <w:vAlign w:val="bottom"/>
          </w:tcPr>
          <w:p w14:paraId="57A9338B" w14:textId="71E0AD27" w:rsidR="00F63D36" w:rsidRPr="003D5A21" w:rsidRDefault="00F63D36" w:rsidP="003D5A21">
            <w:pPr>
              <w:overflowPunct/>
              <w:autoSpaceDE/>
              <w:autoSpaceDN/>
              <w:adjustRightInd/>
              <w:spacing w:after="0"/>
              <w:jc w:val="center"/>
              <w:textAlignment w:val="auto"/>
              <w:rPr>
                <w:rFonts w:asciiTheme="minorHAnsi" w:hAnsiTheme="minorHAnsi"/>
                <w:color w:val="000000"/>
              </w:rPr>
            </w:pPr>
          </w:p>
        </w:tc>
        <w:tc>
          <w:tcPr>
            <w:tcW w:w="620" w:type="dxa"/>
            <w:tcBorders>
              <w:top w:val="nil"/>
              <w:left w:val="nil"/>
              <w:bottom w:val="single" w:sz="4" w:space="0" w:color="auto"/>
              <w:right w:val="single" w:sz="4" w:space="0" w:color="auto"/>
            </w:tcBorders>
            <w:shd w:val="clear" w:color="auto" w:fill="auto"/>
            <w:noWrap/>
            <w:vAlign w:val="bottom"/>
            <w:hideMark/>
          </w:tcPr>
          <w:p w14:paraId="112B5016"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189</w:t>
            </w:r>
          </w:p>
        </w:tc>
        <w:tc>
          <w:tcPr>
            <w:tcW w:w="620" w:type="dxa"/>
            <w:tcBorders>
              <w:top w:val="nil"/>
              <w:left w:val="nil"/>
              <w:bottom w:val="single" w:sz="4" w:space="0" w:color="auto"/>
              <w:right w:val="single" w:sz="4" w:space="0" w:color="auto"/>
            </w:tcBorders>
            <w:shd w:val="clear" w:color="auto" w:fill="auto"/>
            <w:noWrap/>
            <w:vAlign w:val="bottom"/>
            <w:hideMark/>
          </w:tcPr>
          <w:p w14:paraId="45AC27BF"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93</w:t>
            </w:r>
          </w:p>
        </w:tc>
        <w:tc>
          <w:tcPr>
            <w:tcW w:w="556" w:type="dxa"/>
            <w:tcBorders>
              <w:top w:val="nil"/>
              <w:left w:val="nil"/>
              <w:bottom w:val="single" w:sz="4" w:space="0" w:color="auto"/>
              <w:right w:val="single" w:sz="4" w:space="0" w:color="auto"/>
            </w:tcBorders>
            <w:shd w:val="clear" w:color="000000" w:fill="000000"/>
            <w:noWrap/>
            <w:vAlign w:val="bottom"/>
          </w:tcPr>
          <w:p w14:paraId="787D965C" w14:textId="1180B1E9"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 </w:t>
            </w:r>
          </w:p>
        </w:tc>
        <w:tc>
          <w:tcPr>
            <w:tcW w:w="533" w:type="dxa"/>
            <w:gridSpan w:val="2"/>
            <w:tcBorders>
              <w:top w:val="nil"/>
              <w:left w:val="nil"/>
              <w:bottom w:val="single" w:sz="4" w:space="0" w:color="auto"/>
              <w:right w:val="single" w:sz="4" w:space="0" w:color="auto"/>
            </w:tcBorders>
            <w:shd w:val="clear" w:color="000000" w:fill="92D050"/>
            <w:noWrap/>
            <w:vAlign w:val="bottom"/>
            <w:hideMark/>
          </w:tcPr>
          <w:p w14:paraId="04FE4EAC" w14:textId="5B08A743"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0</w:t>
            </w:r>
          </w:p>
        </w:tc>
        <w:tc>
          <w:tcPr>
            <w:tcW w:w="508" w:type="dxa"/>
            <w:tcBorders>
              <w:top w:val="nil"/>
              <w:left w:val="nil"/>
              <w:bottom w:val="single" w:sz="4" w:space="0" w:color="auto"/>
              <w:right w:val="single" w:sz="4" w:space="0" w:color="auto"/>
            </w:tcBorders>
            <w:shd w:val="clear" w:color="000000" w:fill="92D050"/>
            <w:noWrap/>
            <w:vAlign w:val="bottom"/>
            <w:hideMark/>
          </w:tcPr>
          <w:p w14:paraId="2B1CCAB7" w14:textId="50861009"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0</w:t>
            </w:r>
          </w:p>
        </w:tc>
      </w:tr>
      <w:tr w:rsidR="00F63D36" w:rsidRPr="00B75AE3" w14:paraId="3E1960D9" w14:textId="77777777" w:rsidTr="00F63D36">
        <w:trPr>
          <w:trHeight w:val="264"/>
          <w:jc w:val="center"/>
        </w:trPr>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44457EAD"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lastRenderedPageBreak/>
              <w:t>80</w:t>
            </w:r>
          </w:p>
        </w:tc>
        <w:tc>
          <w:tcPr>
            <w:tcW w:w="620" w:type="dxa"/>
            <w:tcBorders>
              <w:top w:val="nil"/>
              <w:left w:val="nil"/>
              <w:bottom w:val="single" w:sz="4" w:space="0" w:color="auto"/>
              <w:right w:val="single" w:sz="4" w:space="0" w:color="auto"/>
            </w:tcBorders>
            <w:shd w:val="clear" w:color="000000" w:fill="000000"/>
            <w:noWrap/>
            <w:vAlign w:val="center"/>
          </w:tcPr>
          <w:p w14:paraId="39198D36" w14:textId="194D6002" w:rsidR="00F63D36" w:rsidRPr="003D5A21" w:rsidRDefault="00F63D36" w:rsidP="003D5A21">
            <w:pPr>
              <w:overflowPunct/>
              <w:autoSpaceDE/>
              <w:autoSpaceDN/>
              <w:adjustRightInd/>
              <w:spacing w:after="0"/>
              <w:jc w:val="center"/>
              <w:textAlignment w:val="auto"/>
              <w:rPr>
                <w:rFonts w:asciiTheme="minorHAnsi" w:hAnsiTheme="minorHAnsi"/>
                <w:color w:val="000000"/>
              </w:rPr>
            </w:pPr>
          </w:p>
        </w:tc>
        <w:tc>
          <w:tcPr>
            <w:tcW w:w="620" w:type="dxa"/>
            <w:tcBorders>
              <w:top w:val="nil"/>
              <w:left w:val="nil"/>
              <w:bottom w:val="single" w:sz="4" w:space="0" w:color="auto"/>
              <w:right w:val="single" w:sz="4" w:space="0" w:color="auto"/>
            </w:tcBorders>
            <w:shd w:val="clear" w:color="auto" w:fill="auto"/>
            <w:vAlign w:val="center"/>
            <w:hideMark/>
          </w:tcPr>
          <w:p w14:paraId="244B2CB5"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217</w:t>
            </w:r>
          </w:p>
        </w:tc>
        <w:tc>
          <w:tcPr>
            <w:tcW w:w="620" w:type="dxa"/>
            <w:tcBorders>
              <w:top w:val="nil"/>
              <w:left w:val="nil"/>
              <w:bottom w:val="single" w:sz="4" w:space="0" w:color="auto"/>
              <w:right w:val="single" w:sz="4" w:space="0" w:color="auto"/>
            </w:tcBorders>
            <w:shd w:val="clear" w:color="auto" w:fill="auto"/>
            <w:vAlign w:val="center"/>
            <w:hideMark/>
          </w:tcPr>
          <w:p w14:paraId="72FED84B"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107</w:t>
            </w:r>
          </w:p>
        </w:tc>
        <w:tc>
          <w:tcPr>
            <w:tcW w:w="620" w:type="dxa"/>
            <w:tcBorders>
              <w:top w:val="nil"/>
              <w:left w:val="nil"/>
              <w:bottom w:val="single" w:sz="4" w:space="0" w:color="auto"/>
              <w:right w:val="single" w:sz="4" w:space="0" w:color="auto"/>
            </w:tcBorders>
            <w:shd w:val="clear" w:color="000000" w:fill="000000"/>
            <w:noWrap/>
            <w:vAlign w:val="bottom"/>
          </w:tcPr>
          <w:p w14:paraId="35BCAC75" w14:textId="535F95A5" w:rsidR="00F63D36" w:rsidRPr="003D5A21" w:rsidRDefault="00F63D36" w:rsidP="003D5A21">
            <w:pPr>
              <w:overflowPunct/>
              <w:autoSpaceDE/>
              <w:autoSpaceDN/>
              <w:adjustRightInd/>
              <w:spacing w:after="0"/>
              <w:jc w:val="center"/>
              <w:textAlignment w:val="auto"/>
              <w:rPr>
                <w:rFonts w:asciiTheme="minorHAnsi" w:hAnsiTheme="minorHAnsi"/>
                <w:color w:val="000000"/>
              </w:rPr>
            </w:pPr>
          </w:p>
        </w:tc>
        <w:tc>
          <w:tcPr>
            <w:tcW w:w="620" w:type="dxa"/>
            <w:tcBorders>
              <w:top w:val="nil"/>
              <w:left w:val="nil"/>
              <w:bottom w:val="single" w:sz="4" w:space="0" w:color="auto"/>
              <w:right w:val="single" w:sz="4" w:space="0" w:color="auto"/>
            </w:tcBorders>
            <w:shd w:val="clear" w:color="auto" w:fill="auto"/>
            <w:noWrap/>
            <w:vAlign w:val="bottom"/>
            <w:hideMark/>
          </w:tcPr>
          <w:p w14:paraId="2230DE0C"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217</w:t>
            </w:r>
          </w:p>
        </w:tc>
        <w:tc>
          <w:tcPr>
            <w:tcW w:w="620" w:type="dxa"/>
            <w:tcBorders>
              <w:top w:val="nil"/>
              <w:left w:val="nil"/>
              <w:bottom w:val="single" w:sz="4" w:space="0" w:color="auto"/>
              <w:right w:val="single" w:sz="4" w:space="0" w:color="auto"/>
            </w:tcBorders>
            <w:shd w:val="clear" w:color="auto" w:fill="auto"/>
            <w:noWrap/>
            <w:vAlign w:val="bottom"/>
            <w:hideMark/>
          </w:tcPr>
          <w:p w14:paraId="47C32828"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107</w:t>
            </w:r>
          </w:p>
        </w:tc>
        <w:tc>
          <w:tcPr>
            <w:tcW w:w="556" w:type="dxa"/>
            <w:tcBorders>
              <w:top w:val="nil"/>
              <w:left w:val="nil"/>
              <w:bottom w:val="single" w:sz="4" w:space="0" w:color="auto"/>
              <w:right w:val="single" w:sz="4" w:space="0" w:color="auto"/>
            </w:tcBorders>
            <w:shd w:val="clear" w:color="000000" w:fill="000000"/>
            <w:noWrap/>
            <w:vAlign w:val="bottom"/>
          </w:tcPr>
          <w:p w14:paraId="24E87068" w14:textId="2D7C5F3E"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 </w:t>
            </w:r>
          </w:p>
        </w:tc>
        <w:tc>
          <w:tcPr>
            <w:tcW w:w="533" w:type="dxa"/>
            <w:gridSpan w:val="2"/>
            <w:tcBorders>
              <w:top w:val="nil"/>
              <w:left w:val="nil"/>
              <w:bottom w:val="single" w:sz="4" w:space="0" w:color="auto"/>
              <w:right w:val="single" w:sz="4" w:space="0" w:color="auto"/>
            </w:tcBorders>
            <w:shd w:val="clear" w:color="000000" w:fill="92D050"/>
            <w:noWrap/>
            <w:vAlign w:val="bottom"/>
            <w:hideMark/>
          </w:tcPr>
          <w:p w14:paraId="042D1283" w14:textId="23368441"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0</w:t>
            </w:r>
          </w:p>
        </w:tc>
        <w:tc>
          <w:tcPr>
            <w:tcW w:w="508" w:type="dxa"/>
            <w:tcBorders>
              <w:top w:val="nil"/>
              <w:left w:val="nil"/>
              <w:bottom w:val="single" w:sz="4" w:space="0" w:color="auto"/>
              <w:right w:val="single" w:sz="4" w:space="0" w:color="auto"/>
            </w:tcBorders>
            <w:shd w:val="clear" w:color="000000" w:fill="92D050"/>
            <w:noWrap/>
            <w:vAlign w:val="bottom"/>
            <w:hideMark/>
          </w:tcPr>
          <w:p w14:paraId="502BDF11" w14:textId="2C94831C"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0</w:t>
            </w:r>
          </w:p>
        </w:tc>
      </w:tr>
      <w:tr w:rsidR="00F63D36" w:rsidRPr="00B75AE3" w14:paraId="57D32D58" w14:textId="77777777" w:rsidTr="00F63D36">
        <w:trPr>
          <w:trHeight w:val="264"/>
          <w:jc w:val="center"/>
        </w:trPr>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6EA53E38"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90</w:t>
            </w:r>
          </w:p>
        </w:tc>
        <w:tc>
          <w:tcPr>
            <w:tcW w:w="620" w:type="dxa"/>
            <w:tcBorders>
              <w:top w:val="nil"/>
              <w:left w:val="nil"/>
              <w:bottom w:val="single" w:sz="4" w:space="0" w:color="auto"/>
              <w:right w:val="single" w:sz="4" w:space="0" w:color="auto"/>
            </w:tcBorders>
            <w:shd w:val="clear" w:color="000000" w:fill="000000"/>
            <w:noWrap/>
            <w:vAlign w:val="center"/>
          </w:tcPr>
          <w:p w14:paraId="5450DEEE" w14:textId="4868E4B3" w:rsidR="00F63D36" w:rsidRPr="003D5A21" w:rsidRDefault="00F63D36" w:rsidP="003D5A21">
            <w:pPr>
              <w:overflowPunct/>
              <w:autoSpaceDE/>
              <w:autoSpaceDN/>
              <w:adjustRightInd/>
              <w:spacing w:after="0"/>
              <w:jc w:val="center"/>
              <w:textAlignment w:val="auto"/>
              <w:rPr>
                <w:rFonts w:asciiTheme="minorHAnsi" w:hAnsiTheme="minorHAnsi"/>
                <w:color w:val="000000"/>
              </w:rPr>
            </w:pPr>
          </w:p>
        </w:tc>
        <w:tc>
          <w:tcPr>
            <w:tcW w:w="620" w:type="dxa"/>
            <w:tcBorders>
              <w:top w:val="nil"/>
              <w:left w:val="nil"/>
              <w:bottom w:val="single" w:sz="4" w:space="0" w:color="auto"/>
              <w:right w:val="single" w:sz="4" w:space="0" w:color="auto"/>
            </w:tcBorders>
            <w:shd w:val="clear" w:color="auto" w:fill="auto"/>
            <w:vAlign w:val="center"/>
            <w:hideMark/>
          </w:tcPr>
          <w:p w14:paraId="3D854294"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245</w:t>
            </w:r>
          </w:p>
        </w:tc>
        <w:tc>
          <w:tcPr>
            <w:tcW w:w="620" w:type="dxa"/>
            <w:tcBorders>
              <w:top w:val="nil"/>
              <w:left w:val="nil"/>
              <w:bottom w:val="single" w:sz="4" w:space="0" w:color="auto"/>
              <w:right w:val="single" w:sz="4" w:space="0" w:color="auto"/>
            </w:tcBorders>
            <w:shd w:val="clear" w:color="auto" w:fill="auto"/>
            <w:vAlign w:val="center"/>
            <w:hideMark/>
          </w:tcPr>
          <w:p w14:paraId="3C57F3BE"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121</w:t>
            </w:r>
          </w:p>
        </w:tc>
        <w:tc>
          <w:tcPr>
            <w:tcW w:w="620" w:type="dxa"/>
            <w:tcBorders>
              <w:top w:val="nil"/>
              <w:left w:val="nil"/>
              <w:bottom w:val="single" w:sz="4" w:space="0" w:color="auto"/>
              <w:right w:val="single" w:sz="4" w:space="0" w:color="auto"/>
            </w:tcBorders>
            <w:shd w:val="clear" w:color="000000" w:fill="000000"/>
            <w:noWrap/>
            <w:vAlign w:val="bottom"/>
          </w:tcPr>
          <w:p w14:paraId="152EA0E9" w14:textId="14FCCB1D" w:rsidR="00F63D36" w:rsidRPr="003D5A21" w:rsidRDefault="00F63D36" w:rsidP="003D5A21">
            <w:pPr>
              <w:overflowPunct/>
              <w:autoSpaceDE/>
              <w:autoSpaceDN/>
              <w:adjustRightInd/>
              <w:spacing w:after="0"/>
              <w:jc w:val="center"/>
              <w:textAlignment w:val="auto"/>
              <w:rPr>
                <w:rFonts w:asciiTheme="minorHAnsi" w:hAnsiTheme="minorHAnsi"/>
                <w:color w:val="000000"/>
              </w:rPr>
            </w:pPr>
          </w:p>
        </w:tc>
        <w:tc>
          <w:tcPr>
            <w:tcW w:w="620" w:type="dxa"/>
            <w:tcBorders>
              <w:top w:val="nil"/>
              <w:left w:val="nil"/>
              <w:bottom w:val="single" w:sz="4" w:space="0" w:color="auto"/>
              <w:right w:val="single" w:sz="4" w:space="0" w:color="auto"/>
            </w:tcBorders>
            <w:shd w:val="clear" w:color="auto" w:fill="auto"/>
            <w:noWrap/>
            <w:vAlign w:val="bottom"/>
            <w:hideMark/>
          </w:tcPr>
          <w:p w14:paraId="38DFB8CD"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245</w:t>
            </w:r>
          </w:p>
        </w:tc>
        <w:tc>
          <w:tcPr>
            <w:tcW w:w="620" w:type="dxa"/>
            <w:tcBorders>
              <w:top w:val="nil"/>
              <w:left w:val="nil"/>
              <w:bottom w:val="single" w:sz="4" w:space="0" w:color="auto"/>
              <w:right w:val="single" w:sz="4" w:space="0" w:color="auto"/>
            </w:tcBorders>
            <w:shd w:val="clear" w:color="auto" w:fill="auto"/>
            <w:noWrap/>
            <w:vAlign w:val="bottom"/>
            <w:hideMark/>
          </w:tcPr>
          <w:p w14:paraId="79C1661D"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121</w:t>
            </w:r>
          </w:p>
        </w:tc>
        <w:tc>
          <w:tcPr>
            <w:tcW w:w="556" w:type="dxa"/>
            <w:tcBorders>
              <w:top w:val="nil"/>
              <w:left w:val="nil"/>
              <w:bottom w:val="single" w:sz="4" w:space="0" w:color="auto"/>
              <w:right w:val="single" w:sz="4" w:space="0" w:color="auto"/>
            </w:tcBorders>
            <w:shd w:val="clear" w:color="000000" w:fill="000000"/>
            <w:noWrap/>
            <w:vAlign w:val="bottom"/>
          </w:tcPr>
          <w:p w14:paraId="0B7757FB" w14:textId="579B1B51"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 </w:t>
            </w:r>
          </w:p>
        </w:tc>
        <w:tc>
          <w:tcPr>
            <w:tcW w:w="533" w:type="dxa"/>
            <w:gridSpan w:val="2"/>
            <w:tcBorders>
              <w:top w:val="nil"/>
              <w:left w:val="nil"/>
              <w:bottom w:val="single" w:sz="4" w:space="0" w:color="auto"/>
              <w:right w:val="single" w:sz="4" w:space="0" w:color="auto"/>
            </w:tcBorders>
            <w:shd w:val="clear" w:color="000000" w:fill="92D050"/>
            <w:noWrap/>
            <w:vAlign w:val="bottom"/>
            <w:hideMark/>
          </w:tcPr>
          <w:p w14:paraId="7C76EBCE" w14:textId="1A955130"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0</w:t>
            </w:r>
          </w:p>
        </w:tc>
        <w:tc>
          <w:tcPr>
            <w:tcW w:w="508" w:type="dxa"/>
            <w:tcBorders>
              <w:top w:val="nil"/>
              <w:left w:val="nil"/>
              <w:bottom w:val="single" w:sz="4" w:space="0" w:color="auto"/>
              <w:right w:val="single" w:sz="4" w:space="0" w:color="auto"/>
            </w:tcBorders>
            <w:shd w:val="clear" w:color="000000" w:fill="92D050"/>
            <w:noWrap/>
            <w:vAlign w:val="bottom"/>
            <w:hideMark/>
          </w:tcPr>
          <w:p w14:paraId="794143CE" w14:textId="70794D9C"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0</w:t>
            </w:r>
          </w:p>
        </w:tc>
      </w:tr>
      <w:tr w:rsidR="00F63D36" w:rsidRPr="00B75AE3" w14:paraId="3906CAD3" w14:textId="77777777" w:rsidTr="00F63D36">
        <w:trPr>
          <w:trHeight w:val="264"/>
          <w:jc w:val="center"/>
        </w:trPr>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5B7F7E61"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100</w:t>
            </w:r>
          </w:p>
        </w:tc>
        <w:tc>
          <w:tcPr>
            <w:tcW w:w="620" w:type="dxa"/>
            <w:tcBorders>
              <w:top w:val="nil"/>
              <w:left w:val="nil"/>
              <w:bottom w:val="single" w:sz="4" w:space="0" w:color="auto"/>
              <w:right w:val="single" w:sz="4" w:space="0" w:color="auto"/>
            </w:tcBorders>
            <w:shd w:val="clear" w:color="000000" w:fill="000000"/>
            <w:noWrap/>
            <w:vAlign w:val="center"/>
          </w:tcPr>
          <w:p w14:paraId="45204147" w14:textId="7B1A74CD" w:rsidR="00F63D36" w:rsidRPr="003D5A21" w:rsidRDefault="00F63D36" w:rsidP="003D5A21">
            <w:pPr>
              <w:overflowPunct/>
              <w:autoSpaceDE/>
              <w:autoSpaceDN/>
              <w:adjustRightInd/>
              <w:spacing w:after="0"/>
              <w:jc w:val="center"/>
              <w:textAlignment w:val="auto"/>
              <w:rPr>
                <w:rFonts w:asciiTheme="minorHAnsi" w:hAnsiTheme="minorHAnsi"/>
                <w:color w:val="000000"/>
              </w:rPr>
            </w:pPr>
          </w:p>
        </w:tc>
        <w:tc>
          <w:tcPr>
            <w:tcW w:w="620" w:type="dxa"/>
            <w:tcBorders>
              <w:top w:val="nil"/>
              <w:left w:val="nil"/>
              <w:bottom w:val="single" w:sz="4" w:space="0" w:color="auto"/>
              <w:right w:val="single" w:sz="4" w:space="0" w:color="auto"/>
            </w:tcBorders>
            <w:shd w:val="clear" w:color="auto" w:fill="auto"/>
            <w:vAlign w:val="center"/>
            <w:hideMark/>
          </w:tcPr>
          <w:p w14:paraId="01752C2B"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273</w:t>
            </w:r>
          </w:p>
        </w:tc>
        <w:tc>
          <w:tcPr>
            <w:tcW w:w="620" w:type="dxa"/>
            <w:tcBorders>
              <w:top w:val="nil"/>
              <w:left w:val="nil"/>
              <w:bottom w:val="single" w:sz="4" w:space="0" w:color="auto"/>
              <w:right w:val="single" w:sz="4" w:space="0" w:color="auto"/>
            </w:tcBorders>
            <w:shd w:val="clear" w:color="auto" w:fill="auto"/>
            <w:vAlign w:val="center"/>
            <w:hideMark/>
          </w:tcPr>
          <w:p w14:paraId="072C2C44"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135</w:t>
            </w:r>
          </w:p>
        </w:tc>
        <w:tc>
          <w:tcPr>
            <w:tcW w:w="620" w:type="dxa"/>
            <w:tcBorders>
              <w:top w:val="nil"/>
              <w:left w:val="nil"/>
              <w:bottom w:val="single" w:sz="4" w:space="0" w:color="auto"/>
              <w:right w:val="single" w:sz="4" w:space="0" w:color="auto"/>
            </w:tcBorders>
            <w:shd w:val="clear" w:color="000000" w:fill="000000"/>
            <w:noWrap/>
            <w:vAlign w:val="bottom"/>
          </w:tcPr>
          <w:p w14:paraId="44AADA7C" w14:textId="4108C7CA" w:rsidR="00F63D36" w:rsidRPr="003D5A21" w:rsidRDefault="00F63D36" w:rsidP="003D5A21">
            <w:pPr>
              <w:overflowPunct/>
              <w:autoSpaceDE/>
              <w:autoSpaceDN/>
              <w:adjustRightInd/>
              <w:spacing w:after="0"/>
              <w:jc w:val="center"/>
              <w:textAlignment w:val="auto"/>
              <w:rPr>
                <w:rFonts w:asciiTheme="minorHAnsi" w:hAnsiTheme="minorHAnsi"/>
                <w:color w:val="000000"/>
              </w:rPr>
            </w:pPr>
          </w:p>
        </w:tc>
        <w:tc>
          <w:tcPr>
            <w:tcW w:w="620" w:type="dxa"/>
            <w:tcBorders>
              <w:top w:val="nil"/>
              <w:left w:val="nil"/>
              <w:bottom w:val="single" w:sz="4" w:space="0" w:color="auto"/>
              <w:right w:val="single" w:sz="4" w:space="0" w:color="auto"/>
            </w:tcBorders>
            <w:shd w:val="clear" w:color="auto" w:fill="auto"/>
            <w:noWrap/>
            <w:vAlign w:val="bottom"/>
            <w:hideMark/>
          </w:tcPr>
          <w:p w14:paraId="698CABB6"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272</w:t>
            </w:r>
          </w:p>
        </w:tc>
        <w:tc>
          <w:tcPr>
            <w:tcW w:w="620" w:type="dxa"/>
            <w:tcBorders>
              <w:top w:val="nil"/>
              <w:left w:val="nil"/>
              <w:bottom w:val="single" w:sz="4" w:space="0" w:color="auto"/>
              <w:right w:val="single" w:sz="4" w:space="0" w:color="auto"/>
            </w:tcBorders>
            <w:shd w:val="clear" w:color="auto" w:fill="auto"/>
            <w:noWrap/>
            <w:vAlign w:val="bottom"/>
            <w:hideMark/>
          </w:tcPr>
          <w:p w14:paraId="54A4537C" w14:textId="77777777" w:rsidR="00F63D36" w:rsidRPr="003D5A21" w:rsidRDefault="00F63D36" w:rsidP="003D5A21">
            <w:pPr>
              <w:overflowPunct/>
              <w:autoSpaceDE/>
              <w:autoSpaceDN/>
              <w:adjustRightInd/>
              <w:spacing w:after="0"/>
              <w:jc w:val="center"/>
              <w:textAlignment w:val="auto"/>
              <w:rPr>
                <w:rFonts w:asciiTheme="minorHAnsi" w:hAnsiTheme="minorHAnsi"/>
                <w:color w:val="000000"/>
              </w:rPr>
            </w:pPr>
            <w:r w:rsidRPr="003D5A21">
              <w:rPr>
                <w:rFonts w:asciiTheme="minorHAnsi" w:hAnsiTheme="minorHAnsi"/>
                <w:color w:val="000000"/>
              </w:rPr>
              <w:t>135</w:t>
            </w:r>
          </w:p>
        </w:tc>
        <w:tc>
          <w:tcPr>
            <w:tcW w:w="556" w:type="dxa"/>
            <w:tcBorders>
              <w:top w:val="nil"/>
              <w:left w:val="nil"/>
              <w:bottom w:val="single" w:sz="4" w:space="0" w:color="auto"/>
              <w:right w:val="single" w:sz="4" w:space="0" w:color="auto"/>
            </w:tcBorders>
            <w:shd w:val="clear" w:color="000000" w:fill="000000"/>
            <w:noWrap/>
            <w:vAlign w:val="bottom"/>
          </w:tcPr>
          <w:p w14:paraId="3F23AB3E" w14:textId="2988A87E"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 </w:t>
            </w:r>
          </w:p>
        </w:tc>
        <w:tc>
          <w:tcPr>
            <w:tcW w:w="533" w:type="dxa"/>
            <w:gridSpan w:val="2"/>
            <w:tcBorders>
              <w:top w:val="nil"/>
              <w:left w:val="nil"/>
              <w:bottom w:val="single" w:sz="4" w:space="0" w:color="auto"/>
              <w:right w:val="single" w:sz="4" w:space="0" w:color="auto"/>
            </w:tcBorders>
            <w:shd w:val="clear" w:color="000000" w:fill="FFFF00"/>
            <w:noWrap/>
            <w:vAlign w:val="bottom"/>
            <w:hideMark/>
          </w:tcPr>
          <w:p w14:paraId="566D3247" w14:textId="00011AE8"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1</w:t>
            </w:r>
          </w:p>
        </w:tc>
        <w:tc>
          <w:tcPr>
            <w:tcW w:w="508" w:type="dxa"/>
            <w:tcBorders>
              <w:top w:val="nil"/>
              <w:left w:val="nil"/>
              <w:bottom w:val="single" w:sz="4" w:space="0" w:color="auto"/>
              <w:right w:val="single" w:sz="4" w:space="0" w:color="auto"/>
            </w:tcBorders>
            <w:shd w:val="clear" w:color="000000" w:fill="92D050"/>
            <w:noWrap/>
            <w:vAlign w:val="bottom"/>
            <w:hideMark/>
          </w:tcPr>
          <w:p w14:paraId="362EB5F2" w14:textId="3D5E11F2" w:rsidR="00F63D36" w:rsidRPr="003D5A21" w:rsidRDefault="00F63D36" w:rsidP="003D5A21">
            <w:pPr>
              <w:overflowPunct/>
              <w:autoSpaceDE/>
              <w:autoSpaceDN/>
              <w:adjustRightInd/>
              <w:spacing w:after="0"/>
              <w:jc w:val="center"/>
              <w:textAlignment w:val="auto"/>
              <w:rPr>
                <w:rFonts w:asciiTheme="minorHAnsi" w:hAnsiTheme="minorHAnsi"/>
                <w:color w:val="000000"/>
              </w:rPr>
            </w:pPr>
            <w:r>
              <w:rPr>
                <w:rFonts w:ascii="Calibri" w:hAnsi="Calibri"/>
                <w:color w:val="000000"/>
                <w:sz w:val="22"/>
                <w:szCs w:val="22"/>
              </w:rPr>
              <w:t>0</w:t>
            </w:r>
          </w:p>
        </w:tc>
      </w:tr>
    </w:tbl>
    <w:p w14:paraId="4DAEB656" w14:textId="77777777" w:rsidR="00E22013" w:rsidRDefault="00E22013" w:rsidP="00E22013"/>
    <w:p w14:paraId="40FFCB24" w14:textId="0DCCEB65" w:rsidR="00B75AE3" w:rsidRDefault="00B75AE3" w:rsidP="00CB084D">
      <w:pPr>
        <w:jc w:val="both"/>
      </w:pPr>
      <w:r>
        <w:t xml:space="preserve">It can be observed that </w:t>
      </w:r>
      <w:r w:rsidR="00EB669D">
        <w:t>the linear fit is optimistic for the region between 25</w:t>
      </w:r>
      <w:r w:rsidR="009E13D0">
        <w:t xml:space="preserve"> </w:t>
      </w:r>
      <w:r w:rsidR="00EB669D">
        <w:t>MHz and 50</w:t>
      </w:r>
      <w:r w:rsidR="009E13D0">
        <w:t xml:space="preserve"> </w:t>
      </w:r>
      <w:r w:rsidR="00EB669D">
        <w:t xml:space="preserve">MHz and thus the </w:t>
      </w:r>
      <w:r w:rsidR="00F63D36">
        <w:t xml:space="preserve">rounded </w:t>
      </w:r>
      <w:r w:rsidR="00EB669D">
        <w:t>result should be corrected by one less RB accordingly. Otherwise</w:t>
      </w:r>
      <w:r w:rsidR="009E13D0">
        <w:t>,</w:t>
      </w:r>
      <w:r w:rsidR="00EB669D">
        <w:t xml:space="preserve"> the linear fit provides a good approach that can be used syst</w:t>
      </w:r>
      <w:r w:rsidR="008B6AEB">
        <w:t>ematically without the need to run emission and EVM simulations for every new channel bandwidth.</w:t>
      </w:r>
      <w:r w:rsidR="00AB5442">
        <w:t xml:space="preserve"> Further correcting by one less RB when needed insures a conservative approach.</w:t>
      </w:r>
    </w:p>
    <w:p w14:paraId="684B79C5" w14:textId="02090968" w:rsidR="008B6AEB" w:rsidRPr="008B6AEB" w:rsidRDefault="008B6AEB" w:rsidP="008B6AEB">
      <w:pPr>
        <w:spacing w:after="0"/>
        <w:rPr>
          <w:b/>
        </w:rPr>
      </w:pPr>
      <w:r w:rsidRPr="008B6AEB">
        <w:rPr>
          <w:b/>
        </w:rPr>
        <w:t xml:space="preserve">Proposal for SU of new </w:t>
      </w:r>
      <w:r w:rsidR="0070099E">
        <w:rPr>
          <w:b/>
        </w:rPr>
        <w:t xml:space="preserve">FR1 </w:t>
      </w:r>
      <w:r w:rsidRPr="008B6AEB">
        <w:rPr>
          <w:b/>
        </w:rPr>
        <w:t>channel bandwidth:</w:t>
      </w:r>
    </w:p>
    <w:p w14:paraId="328B589A" w14:textId="38074FFF" w:rsidR="008B6AEB" w:rsidRPr="008B6AEB" w:rsidRDefault="008B6AEB" w:rsidP="008B6AEB">
      <w:pPr>
        <w:pStyle w:val="ListParagraph"/>
        <w:numPr>
          <w:ilvl w:val="0"/>
          <w:numId w:val="46"/>
        </w:numPr>
        <w:rPr>
          <w:b/>
        </w:rPr>
      </w:pPr>
      <w:r w:rsidRPr="008B6AEB">
        <w:rPr>
          <w:b/>
        </w:rPr>
        <w:t>Use linear fit with coefficients from Table 3 to derive SU</w:t>
      </w:r>
      <w:r w:rsidR="00C11006">
        <w:rPr>
          <w:b/>
        </w:rPr>
        <w:t xml:space="preserve"> for new channel bandwidth between 5 MHz and 100 MHz</w:t>
      </w:r>
    </w:p>
    <w:p w14:paraId="1812305F" w14:textId="3DD7A894" w:rsidR="008B6AEB" w:rsidRPr="008B6AEB" w:rsidRDefault="008B6AEB" w:rsidP="008B6AEB">
      <w:pPr>
        <w:pStyle w:val="ListParagraph"/>
        <w:numPr>
          <w:ilvl w:val="0"/>
          <w:numId w:val="46"/>
        </w:numPr>
        <w:rPr>
          <w:b/>
        </w:rPr>
      </w:pPr>
      <w:r w:rsidRPr="008B6AEB">
        <w:rPr>
          <w:b/>
        </w:rPr>
        <w:t>Correct resulting RB value with one less RB for channel BW between 25 MHz and 50 MHz:</w:t>
      </w:r>
    </w:p>
    <w:p w14:paraId="3EE3D3DA" w14:textId="29D8C5F6" w:rsidR="008B6AEB" w:rsidRPr="008B6AEB" w:rsidRDefault="008B6AEB" w:rsidP="008B6AEB">
      <w:pPr>
        <w:pStyle w:val="ListParagraph"/>
        <w:numPr>
          <w:ilvl w:val="1"/>
          <w:numId w:val="46"/>
        </w:numPr>
        <w:rPr>
          <w:b/>
        </w:rPr>
      </w:pPr>
      <w:r w:rsidRPr="008B6AEB">
        <w:rPr>
          <w:b/>
        </w:rPr>
        <w:t>-1RB for 15kHz SCS for 25-40 MHz</w:t>
      </w:r>
    </w:p>
    <w:p w14:paraId="396593CB" w14:textId="1140010E" w:rsidR="008B6AEB" w:rsidRPr="008B6AEB" w:rsidRDefault="008B6AEB" w:rsidP="008B6AEB">
      <w:pPr>
        <w:pStyle w:val="ListParagraph"/>
        <w:numPr>
          <w:ilvl w:val="1"/>
          <w:numId w:val="46"/>
        </w:numPr>
        <w:rPr>
          <w:b/>
        </w:rPr>
      </w:pPr>
      <w:r w:rsidRPr="008B6AEB">
        <w:rPr>
          <w:b/>
        </w:rPr>
        <w:t xml:space="preserve">-1RB for 30kHz SCS for 30-50 MHz </w:t>
      </w:r>
    </w:p>
    <w:p w14:paraId="7C2F3087" w14:textId="17C31B25" w:rsidR="008B6AEB" w:rsidRPr="008B6AEB" w:rsidRDefault="008B6AEB" w:rsidP="008B6AEB">
      <w:pPr>
        <w:pStyle w:val="ListParagraph"/>
        <w:numPr>
          <w:ilvl w:val="1"/>
          <w:numId w:val="46"/>
        </w:numPr>
        <w:rPr>
          <w:b/>
        </w:rPr>
      </w:pPr>
      <w:r w:rsidRPr="008B6AEB">
        <w:rPr>
          <w:b/>
        </w:rPr>
        <w:t xml:space="preserve">-1RB for </w:t>
      </w:r>
      <w:r w:rsidR="00471B0B">
        <w:rPr>
          <w:b/>
        </w:rPr>
        <w:t>6</w:t>
      </w:r>
      <w:r w:rsidRPr="008B6AEB">
        <w:rPr>
          <w:b/>
        </w:rPr>
        <w:t>0kHz SCS for 40-50 MHz</w:t>
      </w:r>
    </w:p>
    <w:p w14:paraId="5BA9DDBD" w14:textId="5DED6376" w:rsidR="00857AF0" w:rsidRDefault="00857AF0" w:rsidP="00857AF0">
      <w:pPr>
        <w:pStyle w:val="Heading2"/>
        <w:spacing w:after="240"/>
        <w:rPr>
          <w:sz w:val="36"/>
          <w:lang w:val="en-US"/>
        </w:rPr>
      </w:pPr>
      <w:r>
        <w:rPr>
          <w:sz w:val="36"/>
          <w:lang w:val="en-US"/>
        </w:rPr>
        <w:t>Alternatives</w:t>
      </w:r>
      <w:r w:rsidR="004D0427">
        <w:rPr>
          <w:sz w:val="36"/>
          <w:lang w:val="en-US"/>
        </w:rPr>
        <w:t xml:space="preserve"> for </w:t>
      </w:r>
      <w:r w:rsidR="00986976">
        <w:rPr>
          <w:sz w:val="36"/>
          <w:lang w:val="en-US"/>
        </w:rPr>
        <w:t>N</w:t>
      </w:r>
      <w:r w:rsidR="004D0427">
        <w:rPr>
          <w:sz w:val="36"/>
          <w:lang w:val="en-US"/>
        </w:rPr>
        <w:t xml:space="preserve">ew </w:t>
      </w:r>
      <w:r w:rsidR="0070099E">
        <w:rPr>
          <w:sz w:val="36"/>
          <w:lang w:val="en-US"/>
        </w:rPr>
        <w:t xml:space="preserve">FR1 </w:t>
      </w:r>
      <w:r w:rsidR="00986976">
        <w:rPr>
          <w:sz w:val="36"/>
          <w:lang w:val="en-US"/>
        </w:rPr>
        <w:t>Spectrum</w:t>
      </w:r>
      <w:r w:rsidR="004D0427">
        <w:rPr>
          <w:sz w:val="36"/>
          <w:lang w:val="en-US"/>
        </w:rPr>
        <w:t xml:space="preserve"> </w:t>
      </w:r>
      <w:r w:rsidR="00986976">
        <w:rPr>
          <w:sz w:val="36"/>
          <w:lang w:val="en-US"/>
        </w:rPr>
        <w:t>S</w:t>
      </w:r>
      <w:r w:rsidR="004D0427">
        <w:rPr>
          <w:sz w:val="36"/>
          <w:lang w:val="en-US"/>
        </w:rPr>
        <w:t>upport</w:t>
      </w:r>
    </w:p>
    <w:p w14:paraId="2F38B95C" w14:textId="770D8ED7" w:rsidR="00986976" w:rsidRDefault="00986976" w:rsidP="00CB70ED">
      <w:pPr>
        <w:jc w:val="both"/>
      </w:pPr>
      <w:r>
        <w:t xml:space="preserve">Current </w:t>
      </w:r>
      <w:r w:rsidR="0070099E">
        <w:t xml:space="preserve">FR1 </w:t>
      </w:r>
      <w:r>
        <w:t xml:space="preserve">channel BW supported </w:t>
      </w:r>
      <w:r w:rsidR="00841292">
        <w:t>by</w:t>
      </w:r>
      <w:r>
        <w:t xml:space="preserve"> </w:t>
      </w:r>
      <w:r w:rsidR="009E13D0">
        <w:t>R</w:t>
      </w:r>
      <w:r>
        <w:t xml:space="preserve">elease 16 </w:t>
      </w:r>
      <w:r w:rsidR="00841292">
        <w:t xml:space="preserve">UEs </w:t>
      </w:r>
      <w:r>
        <w:t>support every 5</w:t>
      </w:r>
      <w:r w:rsidR="009E13D0">
        <w:t xml:space="preserve"> </w:t>
      </w:r>
      <w:r>
        <w:t>MHz up to 30</w:t>
      </w:r>
      <w:r w:rsidR="009E13D0">
        <w:t xml:space="preserve"> </w:t>
      </w:r>
      <w:r>
        <w:t>MHz and every 10</w:t>
      </w:r>
      <w:r w:rsidR="009E13D0">
        <w:t xml:space="preserve"> </w:t>
      </w:r>
      <w:r>
        <w:t>MHz up to 100</w:t>
      </w:r>
      <w:r w:rsidR="009E13D0">
        <w:t xml:space="preserve"> </w:t>
      </w:r>
      <w:proofErr w:type="spellStart"/>
      <w:r>
        <w:t>MHz.</w:t>
      </w:r>
      <w:proofErr w:type="spellEnd"/>
      <w:r>
        <w:t xml:space="preserve"> </w:t>
      </w:r>
      <w:r w:rsidR="00841292">
        <w:t xml:space="preserve">This is already a fairly good granularity for spectrum support since </w:t>
      </w:r>
      <w:r w:rsidR="00CB70ED">
        <w:t>bands &lt; 2</w:t>
      </w:r>
      <w:r w:rsidR="009E13D0">
        <w:t xml:space="preserve"> </w:t>
      </w:r>
      <w:r w:rsidR="00CB70ED">
        <w:t>GHz tend to have 5</w:t>
      </w:r>
      <w:r w:rsidR="009E13D0">
        <w:t xml:space="preserve"> </w:t>
      </w:r>
      <w:r w:rsidR="00CB70ED">
        <w:t>MHz blocks and smaller spectrum available to a single operator while higher bands use 10</w:t>
      </w:r>
      <w:r w:rsidR="009E13D0">
        <w:t xml:space="preserve"> </w:t>
      </w:r>
      <w:r w:rsidR="00CB70ED">
        <w:t>MHz blocks. Still some exception in some bands or regions/</w:t>
      </w:r>
      <w:r w:rsidR="009E13D0">
        <w:t>m</w:t>
      </w:r>
      <w:r w:rsidR="00CB70ED">
        <w:t xml:space="preserve">arkets exist and, if RAN4 must allow spectrum to be used efficiently, it does not necessarily mean that this should be introduced as </w:t>
      </w:r>
      <w:r w:rsidR="009E13D0">
        <w:t>g</w:t>
      </w:r>
      <w:r w:rsidR="00CB70ED">
        <w:t>eneric (every band) and mandatory support on the UE side.</w:t>
      </w:r>
    </w:p>
    <w:p w14:paraId="59739FD2" w14:textId="6040D6E6" w:rsidR="00C77E05" w:rsidRDefault="00CB70ED" w:rsidP="00C77E05">
      <w:pPr>
        <w:spacing w:after="0"/>
        <w:jc w:val="both"/>
      </w:pPr>
      <w:r>
        <w:t xml:space="preserve">Beyond deriving the needed SU which we have covered in previous section, </w:t>
      </w:r>
      <w:r w:rsidR="00C77E05">
        <w:t>adding new channel ba</w:t>
      </w:r>
      <w:r w:rsidR="009E13D0">
        <w:t>ndwidths for the UE results in</w:t>
      </w:r>
      <w:r w:rsidR="00C77E05">
        <w:t>:</w:t>
      </w:r>
    </w:p>
    <w:p w14:paraId="149C69B7" w14:textId="18BA413C" w:rsidR="00CB70ED" w:rsidRDefault="00C77E05" w:rsidP="00C77E05">
      <w:pPr>
        <w:pStyle w:val="ListParagraph"/>
        <w:numPr>
          <w:ilvl w:val="0"/>
          <w:numId w:val="34"/>
        </w:numPr>
        <w:jc w:val="both"/>
      </w:pPr>
      <w:r>
        <w:t>Larger and larger tables in the spec</w:t>
      </w:r>
    </w:p>
    <w:p w14:paraId="5DBE4167" w14:textId="19F06B37" w:rsidR="00C77E05" w:rsidRDefault="00C77E05" w:rsidP="00C77E05">
      <w:pPr>
        <w:pStyle w:val="ListParagraph"/>
        <w:numPr>
          <w:ilvl w:val="0"/>
          <w:numId w:val="34"/>
        </w:numPr>
        <w:jc w:val="both"/>
      </w:pPr>
      <w:r>
        <w:t>Need for REFSENS and MSD studies for the band where the new bandwidth is introduced in DL</w:t>
      </w:r>
    </w:p>
    <w:p w14:paraId="1754D5C1" w14:textId="374DE477" w:rsidR="00C77E05" w:rsidRDefault="00C77E05" w:rsidP="00C77E05">
      <w:pPr>
        <w:pStyle w:val="ListParagraph"/>
        <w:numPr>
          <w:ilvl w:val="0"/>
          <w:numId w:val="34"/>
        </w:numPr>
        <w:jc w:val="both"/>
      </w:pPr>
      <w:r>
        <w:t>Need for MPR/A-MPR studies for the band where the new bandwidth is introduced in UL</w:t>
      </w:r>
    </w:p>
    <w:p w14:paraId="66DFFA56" w14:textId="088F0A8C" w:rsidR="00C77E05" w:rsidRDefault="00C77E05" w:rsidP="00C77E05">
      <w:pPr>
        <w:pStyle w:val="ListParagraph"/>
        <w:numPr>
          <w:ilvl w:val="0"/>
          <w:numId w:val="34"/>
        </w:numPr>
        <w:jc w:val="both"/>
      </w:pPr>
      <w:r>
        <w:t>Once introduced as a generic UE channel bandwidth:</w:t>
      </w:r>
    </w:p>
    <w:p w14:paraId="424267A5" w14:textId="7106E26E" w:rsidR="00C77E05" w:rsidRDefault="00C77E05" w:rsidP="00C77E05">
      <w:pPr>
        <w:pStyle w:val="ListParagraph"/>
        <w:numPr>
          <w:ilvl w:val="1"/>
          <w:numId w:val="34"/>
        </w:numPr>
        <w:jc w:val="both"/>
      </w:pPr>
      <w:r>
        <w:t>Ripple effect on other bands wanting to support this channel BW</w:t>
      </w:r>
    </w:p>
    <w:p w14:paraId="040C9042" w14:textId="7FF63D47" w:rsidR="00C77E05" w:rsidRDefault="00C77E05" w:rsidP="00C77E05">
      <w:pPr>
        <w:pStyle w:val="ListParagraph"/>
        <w:numPr>
          <w:ilvl w:val="1"/>
          <w:numId w:val="34"/>
        </w:numPr>
        <w:jc w:val="both"/>
      </w:pPr>
      <w:r>
        <w:t>Ripple effect on CA, ENDC combinations wanting to support this channel BW</w:t>
      </w:r>
    </w:p>
    <w:p w14:paraId="32DBD1C9" w14:textId="32810CEC" w:rsidR="00C77E05" w:rsidRDefault="00C77E05" w:rsidP="00C77E05">
      <w:pPr>
        <w:jc w:val="both"/>
      </w:pPr>
      <w:r>
        <w:t>On the other end</w:t>
      </w:r>
      <w:r w:rsidR="009E13D0">
        <w:t>,</w:t>
      </w:r>
      <w:r>
        <w:t xml:space="preserve"> operators must find a way to use efficiently their spectrum and meet regulatory requirements.</w:t>
      </w:r>
    </w:p>
    <w:p w14:paraId="3D10879A" w14:textId="48FA807A" w:rsidR="00C77E05" w:rsidRPr="00986976" w:rsidRDefault="00792639" w:rsidP="00C77E05">
      <w:pPr>
        <w:jc w:val="both"/>
      </w:pPr>
      <w:r>
        <w:t>A balance between UE complexity and test cost and very specific regional/market demand support must be found</w:t>
      </w:r>
      <w:r w:rsidR="009E13D0">
        <w:t>.</w:t>
      </w:r>
      <w:r>
        <w:t xml:space="preserve"> </w:t>
      </w:r>
      <w:r w:rsidR="009E13D0">
        <w:t>F</w:t>
      </w:r>
      <w:r w:rsidR="00C77E05">
        <w:t>or these reasons</w:t>
      </w:r>
      <w:r w:rsidR="009E13D0">
        <w:t>,</w:t>
      </w:r>
      <w:r w:rsidR="00C77E05">
        <w:t xml:space="preserve"> it is worth to examine a few alternatives for introducing (or not) the new channel bandwidths on the UE side. For the BS side it is clear that the new bandwidth must be added but may be in a band specific manner. Below is a list (probably not exhaustive) of possible way</w:t>
      </w:r>
      <w:r w:rsidR="009E13D0">
        <w:t>s</w:t>
      </w:r>
      <w:r w:rsidR="00C77E05">
        <w:t xml:space="preserve"> to support new channel bandwidth on the UE side </w:t>
      </w:r>
      <w:r w:rsidR="00AF6C1D">
        <w:t>and the related advantage/inconvenien</w:t>
      </w:r>
      <w:r w:rsidR="009E13D0">
        <w:t>ce</w:t>
      </w:r>
      <w:r w:rsidR="00006053">
        <w:t xml:space="preserve">, some </w:t>
      </w:r>
      <w:r w:rsidR="009E13D0">
        <w:t xml:space="preserve">of those approaches </w:t>
      </w:r>
      <w:r w:rsidR="00006053">
        <w:t xml:space="preserve">have already been discussed in [4, 5, </w:t>
      </w:r>
      <w:proofErr w:type="gramStart"/>
      <w:r w:rsidR="00006053">
        <w:t>6</w:t>
      </w:r>
      <w:proofErr w:type="gramEnd"/>
      <w:r w:rsidR="00006053">
        <w:t>]</w:t>
      </w:r>
      <w:r w:rsidR="00AF6C1D">
        <w:t>.</w:t>
      </w:r>
    </w:p>
    <w:p w14:paraId="3999C413" w14:textId="5F28E12F" w:rsidR="00986976" w:rsidRPr="00841292" w:rsidRDefault="00986976" w:rsidP="00841292">
      <w:pPr>
        <w:pStyle w:val="ListParagraph"/>
        <w:numPr>
          <w:ilvl w:val="0"/>
          <w:numId w:val="33"/>
        </w:numPr>
        <w:spacing w:after="0"/>
        <w:rPr>
          <w:b/>
        </w:rPr>
      </w:pPr>
      <w:r w:rsidRPr="00841292">
        <w:rPr>
          <w:b/>
        </w:rPr>
        <w:t>Use DL CA only</w:t>
      </w:r>
    </w:p>
    <w:p w14:paraId="5B03D6B5" w14:textId="0B142D01" w:rsidR="00986976" w:rsidRDefault="00986976" w:rsidP="00841292">
      <w:pPr>
        <w:spacing w:after="0"/>
        <w:ind w:left="284" w:firstLine="284"/>
      </w:pPr>
      <w:r>
        <w:t>+ Full spectrum used by BS and UE</w:t>
      </w:r>
    </w:p>
    <w:p w14:paraId="3D50B45F" w14:textId="2BEDA040" w:rsidR="00986976" w:rsidRDefault="00986976" w:rsidP="00841292">
      <w:pPr>
        <w:spacing w:after="0"/>
        <w:ind w:left="284" w:firstLine="284"/>
      </w:pPr>
      <w:r>
        <w:t xml:space="preserve">+ No new </w:t>
      </w:r>
      <w:r w:rsidR="00792639">
        <w:t>BS/</w:t>
      </w:r>
      <w:r>
        <w:t>UE channel BW, assume single UL</w:t>
      </w:r>
    </w:p>
    <w:p w14:paraId="60926049" w14:textId="38BBBE98" w:rsidR="00986976" w:rsidRDefault="00986976" w:rsidP="00841292">
      <w:pPr>
        <w:spacing w:after="0"/>
        <w:ind w:left="284" w:firstLine="284"/>
      </w:pPr>
      <w:r>
        <w:t>+ Can be release independent</w:t>
      </w:r>
    </w:p>
    <w:p w14:paraId="634DACEF" w14:textId="11150F09" w:rsidR="00042CEA" w:rsidRDefault="00986976" w:rsidP="00792639">
      <w:pPr>
        <w:spacing w:after="0"/>
      </w:pPr>
      <w:r>
        <w:tab/>
      </w:r>
      <w:r w:rsidR="00841292">
        <w:tab/>
      </w:r>
      <w:r>
        <w:t>- Slight reduction in SU (~1% and may be mitigated with reduced inter CC guard band)</w:t>
      </w:r>
    </w:p>
    <w:p w14:paraId="770A0A40" w14:textId="4B348E98" w:rsidR="00986976" w:rsidRDefault="00986976" w:rsidP="00841292">
      <w:pPr>
        <w:spacing w:after="0"/>
        <w:ind w:left="284" w:firstLine="284"/>
      </w:pPr>
      <w:r>
        <w:t>- Does not support irregular BW (7MHz, 13MHz</w:t>
      </w:r>
      <w:r w:rsidR="00AF6C1D">
        <w:t>…</w:t>
      </w:r>
      <w:r>
        <w:t>)</w:t>
      </w:r>
    </w:p>
    <w:p w14:paraId="77E762E0" w14:textId="6E0F9328" w:rsidR="00AF6C1D" w:rsidRDefault="00AF6C1D" w:rsidP="00AF6C1D">
      <w:pPr>
        <w:spacing w:after="0"/>
        <w:ind w:left="284" w:firstLine="284"/>
      </w:pPr>
      <w:r>
        <w:t>=&gt; Should be seen as the default and reference</w:t>
      </w:r>
    </w:p>
    <w:p w14:paraId="3CB26772" w14:textId="1B1B9D7B" w:rsidR="00006053" w:rsidRPr="00006053" w:rsidRDefault="004D0427" w:rsidP="00006053">
      <w:pPr>
        <w:pStyle w:val="ListParagraph"/>
        <w:numPr>
          <w:ilvl w:val="0"/>
          <w:numId w:val="33"/>
        </w:numPr>
        <w:spacing w:after="0"/>
      </w:pPr>
      <w:r w:rsidRPr="00006053">
        <w:rPr>
          <w:b/>
        </w:rPr>
        <w:t xml:space="preserve">Introduce new channel BW in BS only and UE supports </w:t>
      </w:r>
      <w:r w:rsidR="00AF6C1D" w:rsidRPr="00006053">
        <w:rPr>
          <w:b/>
        </w:rPr>
        <w:t xml:space="preserve">with </w:t>
      </w:r>
      <w:r w:rsidRPr="00006053">
        <w:rPr>
          <w:b/>
        </w:rPr>
        <w:t xml:space="preserve">existing channel BW below </w:t>
      </w:r>
    </w:p>
    <w:p w14:paraId="6022B09C" w14:textId="233749EC" w:rsidR="004D0427" w:rsidRDefault="004D0427" w:rsidP="00006053">
      <w:pPr>
        <w:pStyle w:val="ListParagraph"/>
        <w:spacing w:after="0"/>
        <w:ind w:left="568"/>
      </w:pPr>
      <w:r>
        <w:t>+ Full spectrum used by BS</w:t>
      </w:r>
    </w:p>
    <w:p w14:paraId="415E2D10" w14:textId="0AD8AAA1" w:rsidR="004D0427" w:rsidRDefault="004D0427" w:rsidP="00841292">
      <w:pPr>
        <w:spacing w:after="0"/>
        <w:ind w:left="568"/>
      </w:pPr>
      <w:r>
        <w:t>+ No new UE channel BW</w:t>
      </w:r>
    </w:p>
    <w:p w14:paraId="7C5623E7" w14:textId="0FAC5054" w:rsidR="00986976" w:rsidRDefault="00986976" w:rsidP="00841292">
      <w:pPr>
        <w:spacing w:after="0"/>
        <w:ind w:left="284" w:firstLine="284"/>
      </w:pPr>
      <w:r>
        <w:t>+ supported by legacy UEs</w:t>
      </w:r>
    </w:p>
    <w:p w14:paraId="4F0997A2" w14:textId="3E0AFB9E" w:rsidR="00C873E9" w:rsidRDefault="004D0427" w:rsidP="00042CEA">
      <w:pPr>
        <w:spacing w:after="0"/>
      </w:pPr>
      <w:r>
        <w:tab/>
      </w:r>
      <w:r w:rsidR="00841292">
        <w:tab/>
      </w:r>
      <w:r>
        <w:t>- Max DL data rate not achieved</w:t>
      </w:r>
    </w:p>
    <w:p w14:paraId="4663A71A" w14:textId="780E6DF4" w:rsidR="00C873E9" w:rsidRDefault="00C873E9" w:rsidP="00C873E9">
      <w:pPr>
        <w:spacing w:after="0"/>
        <w:ind w:left="568"/>
      </w:pPr>
      <w:r>
        <w:t xml:space="preserve">- May not </w:t>
      </w:r>
    </w:p>
    <w:p w14:paraId="1DFD8936" w14:textId="1892A96B" w:rsidR="00AF6C1D" w:rsidRDefault="00AF6C1D" w:rsidP="00042CEA">
      <w:pPr>
        <w:spacing w:after="0"/>
      </w:pPr>
      <w:r>
        <w:tab/>
      </w:r>
      <w:r>
        <w:tab/>
        <w:t>=&gt; Similar to DSS approach, should be fully flexible</w:t>
      </w:r>
    </w:p>
    <w:p w14:paraId="1672FB70" w14:textId="59BBA192" w:rsidR="004D0427" w:rsidRPr="00841292" w:rsidRDefault="004D0427" w:rsidP="00841292">
      <w:pPr>
        <w:pStyle w:val="ListParagraph"/>
        <w:numPr>
          <w:ilvl w:val="0"/>
          <w:numId w:val="33"/>
        </w:numPr>
        <w:spacing w:after="0"/>
        <w:rPr>
          <w:b/>
        </w:rPr>
      </w:pPr>
      <w:r w:rsidRPr="00841292">
        <w:rPr>
          <w:b/>
        </w:rPr>
        <w:lastRenderedPageBreak/>
        <w:t xml:space="preserve">Introduce new channel BW in BS only and UE supports DL with overlapping CA. </w:t>
      </w:r>
    </w:p>
    <w:p w14:paraId="0C60D21E" w14:textId="4A55CF1C" w:rsidR="004D0427" w:rsidRDefault="004D0427" w:rsidP="00841292">
      <w:pPr>
        <w:spacing w:after="0"/>
        <w:ind w:left="284" w:firstLine="284"/>
      </w:pPr>
      <w:r>
        <w:t>+ Full spectrum used by BS</w:t>
      </w:r>
    </w:p>
    <w:p w14:paraId="204739A9" w14:textId="2DE3A720" w:rsidR="004D0427" w:rsidRDefault="004D0427" w:rsidP="00841292">
      <w:pPr>
        <w:spacing w:after="0"/>
        <w:ind w:left="284" w:firstLine="284"/>
      </w:pPr>
      <w:r>
        <w:t>+ Full spectrum used by UE in DL</w:t>
      </w:r>
    </w:p>
    <w:p w14:paraId="43C46FFF" w14:textId="77777777" w:rsidR="00AF6C1D" w:rsidRDefault="004D0427" w:rsidP="00AF6C1D">
      <w:pPr>
        <w:spacing w:after="0"/>
        <w:ind w:left="284" w:firstLine="284"/>
      </w:pPr>
      <w:r>
        <w:t>+ No new UE channel BW</w:t>
      </w:r>
    </w:p>
    <w:p w14:paraId="4AC28613" w14:textId="4C8FB5C8" w:rsidR="00AF6C1D" w:rsidRDefault="00AF6C1D" w:rsidP="00AF6C1D">
      <w:pPr>
        <w:spacing w:after="0"/>
        <w:ind w:left="284" w:firstLine="284"/>
      </w:pPr>
      <w:r>
        <w:t>=&gt; May still require more specification work</w:t>
      </w:r>
    </w:p>
    <w:p w14:paraId="24CEE672" w14:textId="7DA7809A" w:rsidR="00042CEA" w:rsidRPr="00841292" w:rsidRDefault="00042CEA" w:rsidP="00841292">
      <w:pPr>
        <w:pStyle w:val="ListParagraph"/>
        <w:numPr>
          <w:ilvl w:val="0"/>
          <w:numId w:val="33"/>
        </w:numPr>
        <w:spacing w:after="0"/>
        <w:rPr>
          <w:b/>
        </w:rPr>
      </w:pPr>
      <w:r w:rsidRPr="00841292">
        <w:rPr>
          <w:b/>
        </w:rPr>
        <w:t xml:space="preserve">Introduce new channel BW in BS only and UE supports with </w:t>
      </w:r>
      <w:r w:rsidR="00AF6C1D">
        <w:rPr>
          <w:b/>
        </w:rPr>
        <w:t xml:space="preserve">next </w:t>
      </w:r>
      <w:r w:rsidRPr="00841292">
        <w:rPr>
          <w:b/>
        </w:rPr>
        <w:t xml:space="preserve">higher channel BW and reduced RBs. </w:t>
      </w:r>
    </w:p>
    <w:p w14:paraId="306B6AAC" w14:textId="77777777" w:rsidR="00042CEA" w:rsidRDefault="00042CEA" w:rsidP="00841292">
      <w:pPr>
        <w:spacing w:after="0"/>
        <w:ind w:left="284" w:firstLine="284"/>
      </w:pPr>
      <w:r>
        <w:t>+ Full spectrum used by BS</w:t>
      </w:r>
    </w:p>
    <w:p w14:paraId="23E8185C" w14:textId="5EC1ED49" w:rsidR="00042CEA" w:rsidRDefault="00042CEA" w:rsidP="00841292">
      <w:pPr>
        <w:spacing w:after="0"/>
        <w:ind w:left="568"/>
      </w:pPr>
      <w:r>
        <w:t>+ Full spectrum used by UE</w:t>
      </w:r>
    </w:p>
    <w:p w14:paraId="19FB4D07" w14:textId="77777777" w:rsidR="00042CEA" w:rsidRDefault="00042CEA" w:rsidP="00841292">
      <w:pPr>
        <w:spacing w:after="0"/>
        <w:ind w:left="284" w:firstLine="284"/>
      </w:pPr>
      <w:r>
        <w:t>+ No new UE channel BW</w:t>
      </w:r>
    </w:p>
    <w:p w14:paraId="3DDBAEC8" w14:textId="77777777" w:rsidR="00986976" w:rsidRDefault="00986976" w:rsidP="00841292">
      <w:pPr>
        <w:spacing w:after="0"/>
        <w:ind w:left="284" w:firstLine="284"/>
      </w:pPr>
      <w:r>
        <w:t>+ Can be release independent</w:t>
      </w:r>
    </w:p>
    <w:p w14:paraId="3395FF83" w14:textId="6FEE7C4C" w:rsidR="00042CEA" w:rsidRDefault="00042CEA" w:rsidP="00841292">
      <w:pPr>
        <w:spacing w:after="0"/>
        <w:ind w:left="284" w:firstLine="284"/>
      </w:pPr>
      <w:r>
        <w:t>- Regulatory requirement in UL</w:t>
      </w:r>
      <w:r w:rsidR="00986976">
        <w:t xml:space="preserve"> (is IBE sufficient?</w:t>
      </w:r>
      <w:r w:rsidR="00841292">
        <w:t xml:space="preserve"> </w:t>
      </w:r>
      <w:proofErr w:type="gramStart"/>
      <w:r w:rsidR="00841292">
        <w:t>How to provide RBs to be used in regulatory test</w:t>
      </w:r>
      <w:r w:rsidR="00792639">
        <w:t>?</w:t>
      </w:r>
      <w:r w:rsidR="00986976">
        <w:t>)</w:t>
      </w:r>
      <w:proofErr w:type="gramEnd"/>
    </w:p>
    <w:p w14:paraId="2777F70E" w14:textId="7F6B0E09" w:rsidR="00AF6C1D" w:rsidRDefault="00AF6C1D" w:rsidP="00AF6C1D">
      <w:pPr>
        <w:spacing w:after="0"/>
        <w:ind w:left="284" w:firstLine="284"/>
      </w:pPr>
      <w:r>
        <w:t>=&gt; Solution is uncertain</w:t>
      </w:r>
    </w:p>
    <w:p w14:paraId="35EB3580" w14:textId="7AF6EAE2" w:rsidR="004D0427" w:rsidRPr="00841292" w:rsidRDefault="004D0427" w:rsidP="00841292">
      <w:pPr>
        <w:pStyle w:val="ListParagraph"/>
        <w:numPr>
          <w:ilvl w:val="0"/>
          <w:numId w:val="33"/>
        </w:numPr>
        <w:spacing w:after="0"/>
        <w:rPr>
          <w:b/>
        </w:rPr>
      </w:pPr>
      <w:r w:rsidRPr="00841292">
        <w:rPr>
          <w:b/>
        </w:rPr>
        <w:t>Introduce new channel BW in BS only and UE supports new BW in DL only and uses asymmetric UL/DL channel BW with existing channel BW</w:t>
      </w:r>
      <w:r w:rsidR="00006053">
        <w:rPr>
          <w:b/>
        </w:rPr>
        <w:t xml:space="preserve"> in UL</w:t>
      </w:r>
    </w:p>
    <w:p w14:paraId="62C973ED" w14:textId="4E905692" w:rsidR="004D0427" w:rsidRDefault="00F00591" w:rsidP="00841292">
      <w:pPr>
        <w:spacing w:after="0"/>
        <w:ind w:left="284" w:firstLine="284"/>
      </w:pPr>
      <w:r>
        <w:t xml:space="preserve">+ </w:t>
      </w:r>
      <w:r w:rsidR="004D0427">
        <w:t>Full spectrum used by BS</w:t>
      </w:r>
    </w:p>
    <w:p w14:paraId="65712370" w14:textId="3AE2651B" w:rsidR="004D0427" w:rsidRDefault="00F00591" w:rsidP="00841292">
      <w:pPr>
        <w:spacing w:after="0"/>
        <w:ind w:left="568"/>
      </w:pPr>
      <w:r>
        <w:t xml:space="preserve">+ </w:t>
      </w:r>
      <w:r w:rsidR="004D0427">
        <w:t>Full spectrum used by UE in DL</w:t>
      </w:r>
    </w:p>
    <w:p w14:paraId="40695F72" w14:textId="494E30BC" w:rsidR="004D0427" w:rsidRDefault="00F00591" w:rsidP="00841292">
      <w:pPr>
        <w:spacing w:after="0"/>
        <w:ind w:left="284" w:firstLine="284"/>
      </w:pPr>
      <w:r>
        <w:t xml:space="preserve">+ </w:t>
      </w:r>
      <w:r w:rsidR="004D0427">
        <w:t>No need for MPR/AMPR in UL, only REFSENS in DL</w:t>
      </w:r>
      <w:r>
        <w:t xml:space="preserve"> (including potential MSD)</w:t>
      </w:r>
    </w:p>
    <w:p w14:paraId="4A8A8AAF" w14:textId="5775CA14" w:rsidR="00F00591" w:rsidRDefault="00F00591" w:rsidP="00841292">
      <w:pPr>
        <w:spacing w:after="0"/>
        <w:ind w:left="284" w:firstLine="284"/>
      </w:pPr>
      <w:r>
        <w:t>- Ripple effect to over bands</w:t>
      </w:r>
      <w:r w:rsidR="00792639">
        <w:t xml:space="preserve"> and CA/DC</w:t>
      </w:r>
    </w:p>
    <w:p w14:paraId="698C2DA2" w14:textId="0C63049E" w:rsidR="00986976" w:rsidRDefault="00986976" w:rsidP="00841292">
      <w:pPr>
        <w:spacing w:after="0"/>
        <w:ind w:left="284" w:firstLine="284"/>
      </w:pPr>
      <w:r>
        <w:t>- Not release independent</w:t>
      </w:r>
    </w:p>
    <w:p w14:paraId="49067697" w14:textId="42585556" w:rsidR="00AF6C1D" w:rsidRDefault="00AF6C1D" w:rsidP="00841292">
      <w:pPr>
        <w:spacing w:after="0"/>
        <w:ind w:left="284" w:firstLine="284"/>
      </w:pPr>
      <w:r>
        <w:t>=&gt; Should fulfill most of the operator need as UL data-rate is not critical</w:t>
      </w:r>
    </w:p>
    <w:p w14:paraId="22157E2F" w14:textId="2B235A02" w:rsidR="00042CEA" w:rsidRPr="00841292" w:rsidRDefault="00042CEA" w:rsidP="00841292">
      <w:pPr>
        <w:pStyle w:val="ListParagraph"/>
        <w:numPr>
          <w:ilvl w:val="0"/>
          <w:numId w:val="33"/>
        </w:numPr>
        <w:spacing w:after="0"/>
        <w:rPr>
          <w:b/>
        </w:rPr>
      </w:pPr>
      <w:r w:rsidRPr="00841292">
        <w:rPr>
          <w:b/>
        </w:rPr>
        <w:t xml:space="preserve">Introduce </w:t>
      </w:r>
      <w:r w:rsidR="00792639">
        <w:rPr>
          <w:b/>
        </w:rPr>
        <w:t xml:space="preserve">any </w:t>
      </w:r>
      <w:r w:rsidRPr="00841292">
        <w:rPr>
          <w:b/>
        </w:rPr>
        <w:t>new channel BW in BS and UE</w:t>
      </w:r>
    </w:p>
    <w:p w14:paraId="282CDFA6" w14:textId="1BBD2316" w:rsidR="00042CEA" w:rsidRDefault="00042CEA" w:rsidP="00841292">
      <w:pPr>
        <w:spacing w:after="0"/>
        <w:ind w:left="284" w:firstLine="284"/>
      </w:pPr>
      <w:r>
        <w:t>+ Full spectrum used by BS and UE</w:t>
      </w:r>
    </w:p>
    <w:p w14:paraId="7D299AD0" w14:textId="77777777" w:rsidR="00042CEA" w:rsidRDefault="00042CEA" w:rsidP="00841292">
      <w:pPr>
        <w:spacing w:after="0"/>
        <w:ind w:left="568"/>
      </w:pPr>
      <w:r>
        <w:t>- REFSENS in DL (including potential MSD), MPR/AMPR in UL</w:t>
      </w:r>
    </w:p>
    <w:p w14:paraId="2E71AD46" w14:textId="443F054A" w:rsidR="00986976" w:rsidRDefault="00042CEA" w:rsidP="00841292">
      <w:pPr>
        <w:spacing w:after="0"/>
        <w:ind w:left="284" w:firstLine="284"/>
      </w:pPr>
      <w:r>
        <w:t>- Ripple effect to over bands</w:t>
      </w:r>
      <w:r w:rsidR="00792639">
        <w:t xml:space="preserve"> and CA/DC</w:t>
      </w:r>
    </w:p>
    <w:p w14:paraId="2E379CF6" w14:textId="16E4D3CB" w:rsidR="00986976" w:rsidRDefault="00986976" w:rsidP="00841292">
      <w:pPr>
        <w:spacing w:after="0"/>
        <w:ind w:left="284" w:firstLine="284"/>
      </w:pPr>
      <w:r>
        <w:t>- Not release independent</w:t>
      </w:r>
    </w:p>
    <w:p w14:paraId="4AEFAC39" w14:textId="2927DD2D" w:rsidR="00FD3932" w:rsidRDefault="00AF6C1D" w:rsidP="00AF6C1D">
      <w:pPr>
        <w:spacing w:after="0"/>
        <w:ind w:left="284" w:firstLine="284"/>
      </w:pPr>
      <w:r>
        <w:t xml:space="preserve">=&gt; The </w:t>
      </w:r>
      <w:proofErr w:type="gramStart"/>
      <w:r>
        <w:t>Pandora’s box</w:t>
      </w:r>
      <w:proofErr w:type="gramEnd"/>
      <w:r>
        <w:t>: RAN4 work for the decades to come, should move specification to Excel</w:t>
      </w:r>
    </w:p>
    <w:p w14:paraId="795CDB30" w14:textId="77777777" w:rsidR="00AF6C1D" w:rsidRDefault="00AF6C1D" w:rsidP="00AF6C1D">
      <w:pPr>
        <w:spacing w:after="0"/>
      </w:pPr>
    </w:p>
    <w:p w14:paraId="7A51CA74" w14:textId="4D1FB4F7" w:rsidR="00AF6C1D" w:rsidRDefault="00AF6C1D" w:rsidP="00AF6C1D">
      <w:pPr>
        <w:spacing w:after="0"/>
      </w:pPr>
      <w:r>
        <w:t>Given the benefit/inconvenient profile, when new channel bandwidth is requested we propose that RAN 4 studies the following alternatives</w:t>
      </w:r>
      <w:r w:rsidR="00006053">
        <w:t>, starting with 35</w:t>
      </w:r>
      <w:r w:rsidR="009E13D0">
        <w:t xml:space="preserve"> </w:t>
      </w:r>
      <w:r w:rsidR="00006053">
        <w:t>MHz channel bandwidth in n25:</w:t>
      </w:r>
    </w:p>
    <w:p w14:paraId="2853E43D" w14:textId="77777777" w:rsidR="00006053" w:rsidRDefault="00006053" w:rsidP="00AF6C1D">
      <w:pPr>
        <w:spacing w:after="0"/>
      </w:pPr>
    </w:p>
    <w:p w14:paraId="6A2CA477" w14:textId="32FF07D0" w:rsidR="00006053" w:rsidRPr="00006053" w:rsidRDefault="00006053" w:rsidP="00AF6C1D">
      <w:pPr>
        <w:spacing w:after="0"/>
        <w:rPr>
          <w:b/>
        </w:rPr>
      </w:pPr>
      <w:r w:rsidRPr="00006053">
        <w:rPr>
          <w:b/>
        </w:rPr>
        <w:t>Proposal on studies for new channel bandwidth introductions:</w:t>
      </w:r>
    </w:p>
    <w:p w14:paraId="13DBEC0B" w14:textId="77777777" w:rsidR="00006053" w:rsidRPr="00006053" w:rsidRDefault="00006053" w:rsidP="00006053">
      <w:pPr>
        <w:pStyle w:val="ListParagraph"/>
        <w:numPr>
          <w:ilvl w:val="0"/>
          <w:numId w:val="41"/>
        </w:numPr>
        <w:spacing w:after="0"/>
        <w:rPr>
          <w:b/>
        </w:rPr>
      </w:pPr>
      <w:r w:rsidRPr="00006053">
        <w:rPr>
          <w:b/>
        </w:rPr>
        <w:t>Alternatives with minimum specification impact are studied first:</w:t>
      </w:r>
    </w:p>
    <w:p w14:paraId="16AB8C76" w14:textId="26D7D8B3" w:rsidR="00006053" w:rsidRPr="00841292" w:rsidRDefault="00006053" w:rsidP="00006053">
      <w:pPr>
        <w:pStyle w:val="ListParagraph"/>
        <w:numPr>
          <w:ilvl w:val="1"/>
          <w:numId w:val="41"/>
        </w:numPr>
        <w:spacing w:after="0"/>
        <w:rPr>
          <w:b/>
        </w:rPr>
      </w:pPr>
      <w:r w:rsidRPr="00841292">
        <w:rPr>
          <w:b/>
        </w:rPr>
        <w:t>Use DL CA only</w:t>
      </w:r>
      <w:r>
        <w:rPr>
          <w:b/>
        </w:rPr>
        <w:t xml:space="preserve"> when possible and negligible SU impact</w:t>
      </w:r>
    </w:p>
    <w:p w14:paraId="017DBE54" w14:textId="77777777" w:rsidR="00006053" w:rsidRPr="00006053" w:rsidRDefault="00006053" w:rsidP="00006053">
      <w:pPr>
        <w:pStyle w:val="ListParagraph"/>
        <w:numPr>
          <w:ilvl w:val="1"/>
          <w:numId w:val="41"/>
        </w:numPr>
        <w:spacing w:after="0"/>
      </w:pPr>
      <w:r w:rsidRPr="00006053">
        <w:rPr>
          <w:b/>
        </w:rPr>
        <w:t xml:space="preserve">Introduce new channel BW in BS only and UE supports with existing channel BW below </w:t>
      </w:r>
    </w:p>
    <w:p w14:paraId="707B6DF6" w14:textId="4CFEAE25" w:rsidR="00006053" w:rsidRPr="00006053" w:rsidRDefault="00006053" w:rsidP="00006053">
      <w:pPr>
        <w:pStyle w:val="ListParagraph"/>
        <w:numPr>
          <w:ilvl w:val="1"/>
          <w:numId w:val="41"/>
        </w:numPr>
        <w:spacing w:after="0"/>
      </w:pPr>
      <w:r w:rsidRPr="00841292">
        <w:rPr>
          <w:b/>
        </w:rPr>
        <w:t>Introduce new channel BW in BS only and UE supports new BW in DL only and uses asymmetric UL/DL channel BW with existing channel BW</w:t>
      </w:r>
      <w:r>
        <w:rPr>
          <w:b/>
        </w:rPr>
        <w:t xml:space="preserve"> in UL</w:t>
      </w:r>
    </w:p>
    <w:p w14:paraId="36C15422" w14:textId="2A6EA478" w:rsidR="00006053" w:rsidRPr="00841292" w:rsidRDefault="0070099E" w:rsidP="00006053">
      <w:pPr>
        <w:pStyle w:val="ListParagraph"/>
        <w:numPr>
          <w:ilvl w:val="0"/>
          <w:numId w:val="41"/>
        </w:numPr>
        <w:spacing w:after="0"/>
        <w:rPr>
          <w:b/>
        </w:rPr>
      </w:pPr>
      <w:r>
        <w:rPr>
          <w:b/>
        </w:rPr>
        <w:t>Generic (i.e. valid across all bands) new</w:t>
      </w:r>
      <w:r w:rsidR="00006053" w:rsidRPr="00841292">
        <w:rPr>
          <w:b/>
        </w:rPr>
        <w:t xml:space="preserve"> channel BW</w:t>
      </w:r>
      <w:r w:rsidR="00006053">
        <w:rPr>
          <w:b/>
        </w:rPr>
        <w:t xml:space="preserve"> </w:t>
      </w:r>
      <w:r>
        <w:rPr>
          <w:b/>
        </w:rPr>
        <w:t xml:space="preserve">below 100 MHz are only </w:t>
      </w:r>
      <w:r w:rsidR="00006053">
        <w:rPr>
          <w:b/>
        </w:rPr>
        <w:t>introduced</w:t>
      </w:r>
      <w:r>
        <w:rPr>
          <w:b/>
        </w:rPr>
        <w:t xml:space="preserve"> exceptionally</w:t>
      </w:r>
      <w:r w:rsidR="00006053">
        <w:rPr>
          <w:b/>
        </w:rPr>
        <w:t xml:space="preserve"> </w:t>
      </w:r>
      <w:r>
        <w:rPr>
          <w:b/>
        </w:rPr>
        <w:t>in the</w:t>
      </w:r>
      <w:r w:rsidR="00006053" w:rsidRPr="00841292">
        <w:rPr>
          <w:b/>
        </w:rPr>
        <w:t xml:space="preserve"> UE</w:t>
      </w:r>
      <w:r>
        <w:rPr>
          <w:b/>
        </w:rPr>
        <w:t xml:space="preserve"> specification</w:t>
      </w:r>
    </w:p>
    <w:p w14:paraId="0F394DAA" w14:textId="7EC01B0B" w:rsidR="002071E6" w:rsidRPr="0070099E" w:rsidRDefault="0070099E" w:rsidP="002071E6">
      <w:pPr>
        <w:pStyle w:val="ListParagraph"/>
        <w:numPr>
          <w:ilvl w:val="0"/>
          <w:numId w:val="41"/>
        </w:numPr>
        <w:spacing w:after="0"/>
        <w:rPr>
          <w:b/>
        </w:rPr>
      </w:pPr>
      <w:r>
        <w:rPr>
          <w:b/>
        </w:rPr>
        <w:t>If introduced in UE specification,</w:t>
      </w:r>
      <w:r w:rsidR="00006053" w:rsidRPr="00006053">
        <w:rPr>
          <w:b/>
        </w:rPr>
        <w:t xml:space="preserve"> </w:t>
      </w:r>
      <w:r w:rsidRPr="00006053">
        <w:rPr>
          <w:b/>
        </w:rPr>
        <w:t>band or frequency range spec</w:t>
      </w:r>
      <w:r>
        <w:rPr>
          <w:b/>
        </w:rPr>
        <w:t>ific</w:t>
      </w:r>
      <w:r w:rsidRPr="00006053">
        <w:rPr>
          <w:b/>
        </w:rPr>
        <w:t xml:space="preserve"> </w:t>
      </w:r>
      <w:r>
        <w:rPr>
          <w:b/>
        </w:rPr>
        <w:t xml:space="preserve">introduction </w:t>
      </w:r>
      <w:r w:rsidR="00471B0B">
        <w:rPr>
          <w:b/>
        </w:rPr>
        <w:t>is discussed</w:t>
      </w:r>
    </w:p>
    <w:p w14:paraId="01D574D0" w14:textId="638380A9" w:rsidR="002071E6" w:rsidRDefault="002071E6" w:rsidP="002071E6">
      <w:pPr>
        <w:pStyle w:val="Heading2"/>
        <w:spacing w:after="240"/>
        <w:rPr>
          <w:sz w:val="36"/>
          <w:lang w:val="en-US"/>
        </w:rPr>
      </w:pPr>
      <w:r>
        <w:rPr>
          <w:sz w:val="36"/>
          <w:lang w:val="en-US"/>
        </w:rPr>
        <w:t>Comparing UE Mode of Operation</w:t>
      </w:r>
    </w:p>
    <w:p w14:paraId="74EF07C1" w14:textId="0968812C" w:rsidR="002071E6" w:rsidRDefault="002071E6" w:rsidP="002071E6">
      <w:r>
        <w:t>Based on the proposal for SU from 2.1 and mapping for new channel bandwidths that have been discussed, a comparison of the different UE support discussed in 2.2 is provided in Table 5.</w:t>
      </w:r>
    </w:p>
    <w:p w14:paraId="1109802A" w14:textId="18507FBF" w:rsidR="002071E6" w:rsidRDefault="002071E6" w:rsidP="002D3CF8">
      <w:pPr>
        <w:pStyle w:val="Caption"/>
        <w:keepNext/>
        <w:spacing w:after="0"/>
        <w:jc w:val="center"/>
      </w:pPr>
      <w:r>
        <w:t xml:space="preserve">Table </w:t>
      </w:r>
      <w:r w:rsidR="004863B3">
        <w:fldChar w:fldCharType="begin"/>
      </w:r>
      <w:r w:rsidR="004863B3">
        <w:instrText xml:space="preserve"> SEQ Table \* ARABIC </w:instrText>
      </w:r>
      <w:r w:rsidR="004863B3">
        <w:fldChar w:fldCharType="separate"/>
      </w:r>
      <w:r>
        <w:rPr>
          <w:noProof/>
        </w:rPr>
        <w:t>5</w:t>
      </w:r>
      <w:r w:rsidR="004863B3">
        <w:rPr>
          <w:noProof/>
        </w:rPr>
        <w:fldChar w:fldCharType="end"/>
      </w:r>
      <w:r>
        <w:t>: Comparison of SU for different UE support</w:t>
      </w:r>
    </w:p>
    <w:tbl>
      <w:tblPr>
        <w:tblW w:w="8242" w:type="dxa"/>
        <w:jc w:val="center"/>
        <w:tblInd w:w="293" w:type="dxa"/>
        <w:tblLook w:val="04A0" w:firstRow="1" w:lastRow="0" w:firstColumn="1" w:lastColumn="0" w:noHBand="0" w:noVBand="1"/>
      </w:tblPr>
      <w:tblGrid>
        <w:gridCol w:w="998"/>
        <w:gridCol w:w="664"/>
        <w:gridCol w:w="718"/>
        <w:gridCol w:w="671"/>
        <w:gridCol w:w="759"/>
        <w:gridCol w:w="809"/>
        <w:gridCol w:w="720"/>
        <w:gridCol w:w="720"/>
        <w:gridCol w:w="810"/>
        <w:gridCol w:w="709"/>
        <w:gridCol w:w="664"/>
      </w:tblGrid>
      <w:tr w:rsidR="00AA7C55" w:rsidRPr="00AA7C55" w14:paraId="78C61D41" w14:textId="77777777" w:rsidTr="002D3CF8">
        <w:trPr>
          <w:trHeight w:val="44"/>
          <w:jc w:val="center"/>
        </w:trPr>
        <w:tc>
          <w:tcPr>
            <w:tcW w:w="9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F06B5" w14:textId="6F9FBC71" w:rsidR="00C873E9" w:rsidRPr="00AA7C55" w:rsidRDefault="0070099E" w:rsidP="002D3CF8">
            <w:pPr>
              <w:overflowPunct/>
              <w:autoSpaceDE/>
              <w:autoSpaceDN/>
              <w:adjustRightInd/>
              <w:spacing w:after="0"/>
              <w:jc w:val="right"/>
              <w:textAlignment w:val="auto"/>
              <w:rPr>
                <w:rFonts w:asciiTheme="minorHAnsi" w:hAnsiTheme="minorHAnsi"/>
                <w:color w:val="000000"/>
                <w:sz w:val="18"/>
                <w:szCs w:val="18"/>
              </w:rPr>
            </w:pPr>
            <w:r>
              <w:rPr>
                <w:rFonts w:asciiTheme="minorHAnsi" w:hAnsiTheme="minorHAnsi"/>
                <w:color w:val="000000"/>
                <w:sz w:val="18"/>
                <w:szCs w:val="18"/>
              </w:rPr>
              <w:t>Spectrum</w:t>
            </w:r>
          </w:p>
        </w:tc>
        <w:tc>
          <w:tcPr>
            <w:tcW w:w="1382" w:type="dxa"/>
            <w:gridSpan w:val="2"/>
            <w:tcBorders>
              <w:top w:val="single" w:sz="4" w:space="0" w:color="auto"/>
              <w:left w:val="nil"/>
              <w:bottom w:val="single" w:sz="4" w:space="0" w:color="auto"/>
              <w:right w:val="single" w:sz="4" w:space="0" w:color="auto"/>
            </w:tcBorders>
          </w:tcPr>
          <w:p w14:paraId="1CC1DFE2" w14:textId="09E5949E" w:rsidR="00C873E9" w:rsidRPr="00AA7C55" w:rsidRDefault="0070099E" w:rsidP="0070099E">
            <w:pPr>
              <w:overflowPunct/>
              <w:autoSpaceDE/>
              <w:autoSpaceDN/>
              <w:adjustRightInd/>
              <w:spacing w:after="0"/>
              <w:textAlignment w:val="auto"/>
              <w:rPr>
                <w:rFonts w:asciiTheme="minorHAnsi" w:hAnsiTheme="minorHAnsi"/>
                <w:color w:val="000000"/>
                <w:sz w:val="18"/>
                <w:szCs w:val="18"/>
              </w:rPr>
            </w:pPr>
            <w:r>
              <w:rPr>
                <w:rFonts w:asciiTheme="minorHAnsi" w:hAnsiTheme="minorHAnsi"/>
                <w:color w:val="000000"/>
                <w:sz w:val="18"/>
                <w:szCs w:val="18"/>
              </w:rPr>
              <w:t>7MHz</w:t>
            </w:r>
            <w:r w:rsidR="002D3CF8">
              <w:rPr>
                <w:rFonts w:asciiTheme="minorHAnsi" w:hAnsiTheme="minorHAnsi"/>
                <w:color w:val="000000"/>
                <w:sz w:val="18"/>
                <w:szCs w:val="18"/>
              </w:rPr>
              <w:t>@</w:t>
            </w:r>
            <w:r w:rsidR="00AA7C55">
              <w:rPr>
                <w:rFonts w:asciiTheme="minorHAnsi" w:hAnsiTheme="minorHAnsi"/>
                <w:color w:val="000000"/>
                <w:sz w:val="18"/>
                <w:szCs w:val="18"/>
              </w:rPr>
              <w:t>15kHz</w:t>
            </w:r>
          </w:p>
        </w:tc>
        <w:tc>
          <w:tcPr>
            <w:tcW w:w="1430" w:type="dxa"/>
            <w:gridSpan w:val="2"/>
            <w:tcBorders>
              <w:top w:val="single" w:sz="4" w:space="0" w:color="auto"/>
              <w:left w:val="nil"/>
              <w:bottom w:val="single" w:sz="4" w:space="0" w:color="auto"/>
              <w:right w:val="single" w:sz="4" w:space="0" w:color="auto"/>
            </w:tcBorders>
          </w:tcPr>
          <w:p w14:paraId="7F3777DA" w14:textId="0919EBA1" w:rsidR="00C873E9" w:rsidRPr="00AA7C55" w:rsidRDefault="002D3CF8" w:rsidP="009E13D0">
            <w:pPr>
              <w:overflowPunct/>
              <w:autoSpaceDE/>
              <w:autoSpaceDN/>
              <w:adjustRightInd/>
              <w:spacing w:after="0"/>
              <w:jc w:val="center"/>
              <w:textAlignment w:val="auto"/>
              <w:rPr>
                <w:rFonts w:asciiTheme="minorHAnsi" w:hAnsiTheme="minorHAnsi"/>
                <w:color w:val="000000"/>
                <w:sz w:val="18"/>
                <w:szCs w:val="18"/>
              </w:rPr>
            </w:pPr>
            <w:r>
              <w:rPr>
                <w:rFonts w:asciiTheme="minorHAnsi" w:hAnsiTheme="minorHAnsi"/>
                <w:color w:val="000000"/>
                <w:sz w:val="18"/>
                <w:szCs w:val="18"/>
              </w:rPr>
              <w:t>13MHz@</w:t>
            </w:r>
            <w:r w:rsidR="00AA7C55">
              <w:rPr>
                <w:rFonts w:asciiTheme="minorHAnsi" w:hAnsiTheme="minorHAnsi"/>
                <w:color w:val="000000"/>
                <w:sz w:val="18"/>
                <w:szCs w:val="18"/>
              </w:rPr>
              <w:t>15kHz</w:t>
            </w:r>
          </w:p>
        </w:tc>
        <w:tc>
          <w:tcPr>
            <w:tcW w:w="2249" w:type="dxa"/>
            <w:gridSpan w:val="3"/>
            <w:tcBorders>
              <w:top w:val="single" w:sz="4" w:space="0" w:color="auto"/>
              <w:left w:val="nil"/>
              <w:bottom w:val="single" w:sz="4" w:space="0" w:color="auto"/>
              <w:right w:val="single" w:sz="4" w:space="0" w:color="auto"/>
            </w:tcBorders>
            <w:shd w:val="clear" w:color="auto" w:fill="auto"/>
            <w:noWrap/>
            <w:vAlign w:val="bottom"/>
          </w:tcPr>
          <w:p w14:paraId="356C6A9F" w14:textId="7AF4AB03" w:rsidR="00C873E9" w:rsidRPr="00AA7C55" w:rsidRDefault="002D3CF8" w:rsidP="009E13D0">
            <w:pPr>
              <w:overflowPunct/>
              <w:autoSpaceDE/>
              <w:autoSpaceDN/>
              <w:adjustRightInd/>
              <w:spacing w:after="0"/>
              <w:jc w:val="center"/>
              <w:textAlignment w:val="auto"/>
              <w:rPr>
                <w:rFonts w:asciiTheme="minorHAnsi" w:hAnsiTheme="minorHAnsi"/>
                <w:color w:val="000000"/>
                <w:sz w:val="18"/>
                <w:szCs w:val="18"/>
              </w:rPr>
            </w:pPr>
            <w:r>
              <w:rPr>
                <w:rFonts w:asciiTheme="minorHAnsi" w:hAnsiTheme="minorHAnsi"/>
                <w:color w:val="000000"/>
                <w:sz w:val="18"/>
                <w:szCs w:val="18"/>
              </w:rPr>
              <w:t>35MHz@</w:t>
            </w:r>
            <w:r w:rsidR="00AA7C55">
              <w:rPr>
                <w:rFonts w:asciiTheme="minorHAnsi" w:hAnsiTheme="minorHAnsi"/>
                <w:color w:val="000000"/>
                <w:sz w:val="18"/>
                <w:szCs w:val="18"/>
              </w:rPr>
              <w:t>15kHz</w:t>
            </w:r>
          </w:p>
        </w:tc>
        <w:tc>
          <w:tcPr>
            <w:tcW w:w="2183" w:type="dxa"/>
            <w:gridSpan w:val="3"/>
            <w:tcBorders>
              <w:top w:val="single" w:sz="4" w:space="0" w:color="auto"/>
              <w:left w:val="nil"/>
              <w:bottom w:val="single" w:sz="4" w:space="0" w:color="auto"/>
              <w:right w:val="single" w:sz="4" w:space="0" w:color="auto"/>
            </w:tcBorders>
            <w:shd w:val="clear" w:color="auto" w:fill="auto"/>
            <w:noWrap/>
            <w:vAlign w:val="bottom"/>
          </w:tcPr>
          <w:p w14:paraId="7FA85B5E" w14:textId="33FB4B35" w:rsidR="00C873E9" w:rsidRPr="00AA7C55" w:rsidRDefault="002D3CF8" w:rsidP="00AA7C55">
            <w:pPr>
              <w:overflowPunct/>
              <w:autoSpaceDE/>
              <w:autoSpaceDN/>
              <w:adjustRightInd/>
              <w:spacing w:after="0"/>
              <w:jc w:val="center"/>
              <w:textAlignment w:val="auto"/>
              <w:rPr>
                <w:rFonts w:asciiTheme="minorHAnsi" w:hAnsiTheme="minorHAnsi"/>
                <w:color w:val="000000"/>
                <w:sz w:val="18"/>
                <w:szCs w:val="18"/>
              </w:rPr>
            </w:pPr>
            <w:r>
              <w:rPr>
                <w:rFonts w:asciiTheme="minorHAnsi" w:hAnsiTheme="minorHAnsi"/>
                <w:color w:val="000000"/>
                <w:sz w:val="18"/>
                <w:szCs w:val="18"/>
              </w:rPr>
              <w:t>95MHz@</w:t>
            </w:r>
            <w:r w:rsidR="00AA7C55">
              <w:rPr>
                <w:rFonts w:asciiTheme="minorHAnsi" w:hAnsiTheme="minorHAnsi"/>
                <w:color w:val="000000"/>
                <w:sz w:val="18"/>
                <w:szCs w:val="18"/>
              </w:rPr>
              <w:t>30kHz</w:t>
            </w:r>
          </w:p>
        </w:tc>
      </w:tr>
      <w:tr w:rsidR="002D3CF8" w:rsidRPr="00AA7C55" w14:paraId="32BDA153" w14:textId="77777777" w:rsidTr="002D3CF8">
        <w:trPr>
          <w:trHeight w:val="89"/>
          <w:jc w:val="center"/>
        </w:trPr>
        <w:tc>
          <w:tcPr>
            <w:tcW w:w="998" w:type="dxa"/>
            <w:tcBorders>
              <w:top w:val="nil"/>
              <w:left w:val="single" w:sz="4" w:space="0" w:color="auto"/>
              <w:bottom w:val="single" w:sz="4" w:space="0" w:color="auto"/>
              <w:right w:val="single" w:sz="4" w:space="0" w:color="auto"/>
            </w:tcBorders>
            <w:shd w:val="clear" w:color="auto" w:fill="auto"/>
            <w:noWrap/>
            <w:vAlign w:val="center"/>
          </w:tcPr>
          <w:p w14:paraId="12D2043D" w14:textId="6EE260D6" w:rsidR="002071E6" w:rsidRPr="00AA7C55" w:rsidRDefault="002D3CF8" w:rsidP="002D3CF8">
            <w:pPr>
              <w:overflowPunct/>
              <w:autoSpaceDE/>
              <w:autoSpaceDN/>
              <w:adjustRightInd/>
              <w:spacing w:after="0"/>
              <w:jc w:val="right"/>
              <w:textAlignment w:val="auto"/>
              <w:rPr>
                <w:rFonts w:asciiTheme="minorHAnsi" w:hAnsiTheme="minorHAnsi"/>
                <w:color w:val="000000"/>
                <w:sz w:val="18"/>
                <w:szCs w:val="18"/>
              </w:rPr>
            </w:pPr>
            <w:r>
              <w:rPr>
                <w:rFonts w:asciiTheme="minorHAnsi" w:hAnsiTheme="minorHAnsi"/>
                <w:color w:val="000000"/>
                <w:sz w:val="18"/>
                <w:szCs w:val="18"/>
              </w:rPr>
              <w:t>Support via</w:t>
            </w:r>
          </w:p>
        </w:tc>
        <w:tc>
          <w:tcPr>
            <w:tcW w:w="664" w:type="dxa"/>
            <w:tcBorders>
              <w:top w:val="nil"/>
              <w:left w:val="nil"/>
              <w:bottom w:val="single" w:sz="4" w:space="0" w:color="auto"/>
              <w:right w:val="single" w:sz="4" w:space="0" w:color="auto"/>
            </w:tcBorders>
          </w:tcPr>
          <w:p w14:paraId="04FC52F9" w14:textId="2EFD3364" w:rsidR="002071E6" w:rsidRPr="00AA7C55" w:rsidRDefault="002071E6" w:rsidP="009E13D0">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5 MHz</w:t>
            </w:r>
          </w:p>
        </w:tc>
        <w:tc>
          <w:tcPr>
            <w:tcW w:w="718" w:type="dxa"/>
            <w:tcBorders>
              <w:top w:val="nil"/>
              <w:left w:val="single" w:sz="4" w:space="0" w:color="auto"/>
              <w:bottom w:val="single" w:sz="4" w:space="0" w:color="auto"/>
              <w:right w:val="single" w:sz="4" w:space="0" w:color="auto"/>
            </w:tcBorders>
          </w:tcPr>
          <w:p w14:paraId="5E0D345C" w14:textId="77777777" w:rsidR="0070099E" w:rsidRDefault="002071E6" w:rsidP="0070099E">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 xml:space="preserve">7 </w:t>
            </w:r>
          </w:p>
          <w:p w14:paraId="5F07CFCE" w14:textId="3B9E8A42" w:rsidR="002071E6" w:rsidRPr="00AA7C55" w:rsidRDefault="002071E6" w:rsidP="0070099E">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MHz</w:t>
            </w:r>
          </w:p>
        </w:tc>
        <w:tc>
          <w:tcPr>
            <w:tcW w:w="671" w:type="dxa"/>
            <w:tcBorders>
              <w:top w:val="nil"/>
              <w:left w:val="nil"/>
              <w:bottom w:val="single" w:sz="4" w:space="0" w:color="auto"/>
              <w:right w:val="single" w:sz="4" w:space="0" w:color="auto"/>
            </w:tcBorders>
          </w:tcPr>
          <w:p w14:paraId="00A3F3BA" w14:textId="77777777" w:rsidR="00C873E9" w:rsidRPr="00AA7C55" w:rsidRDefault="00C873E9" w:rsidP="009E13D0">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10</w:t>
            </w:r>
          </w:p>
          <w:p w14:paraId="49BBF843" w14:textId="2CC9E1B1" w:rsidR="002071E6" w:rsidRPr="00AA7C55" w:rsidRDefault="002071E6" w:rsidP="009E13D0">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MHz</w:t>
            </w:r>
          </w:p>
        </w:tc>
        <w:tc>
          <w:tcPr>
            <w:tcW w:w="759" w:type="dxa"/>
            <w:tcBorders>
              <w:top w:val="nil"/>
              <w:left w:val="nil"/>
              <w:bottom w:val="single" w:sz="4" w:space="0" w:color="auto"/>
              <w:right w:val="single" w:sz="4" w:space="0" w:color="auto"/>
            </w:tcBorders>
          </w:tcPr>
          <w:p w14:paraId="4C2AE1D7" w14:textId="77777777" w:rsidR="0070099E" w:rsidRDefault="002071E6" w:rsidP="0070099E">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 xml:space="preserve">13 </w:t>
            </w:r>
          </w:p>
          <w:p w14:paraId="4B3007CB" w14:textId="2426C31C" w:rsidR="002071E6" w:rsidRPr="00AA7C55" w:rsidRDefault="002071E6" w:rsidP="0070099E">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 xml:space="preserve">MHz </w:t>
            </w:r>
          </w:p>
        </w:tc>
        <w:tc>
          <w:tcPr>
            <w:tcW w:w="809" w:type="dxa"/>
            <w:tcBorders>
              <w:top w:val="nil"/>
              <w:left w:val="nil"/>
              <w:bottom w:val="single" w:sz="4" w:space="0" w:color="auto"/>
              <w:right w:val="single" w:sz="4" w:space="0" w:color="auto"/>
            </w:tcBorders>
            <w:shd w:val="clear" w:color="auto" w:fill="auto"/>
            <w:noWrap/>
            <w:vAlign w:val="bottom"/>
          </w:tcPr>
          <w:p w14:paraId="1DF94DA9" w14:textId="30853FD5" w:rsidR="002071E6" w:rsidRPr="00AA7C55" w:rsidRDefault="002071E6" w:rsidP="0070099E">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15+20</w:t>
            </w:r>
            <w:r w:rsidR="00C873E9" w:rsidRPr="00AA7C55">
              <w:rPr>
                <w:rFonts w:asciiTheme="minorHAnsi" w:hAnsiTheme="minorHAnsi"/>
                <w:color w:val="000000"/>
                <w:sz w:val="18"/>
                <w:szCs w:val="18"/>
              </w:rPr>
              <w:t xml:space="preserve"> </w:t>
            </w:r>
            <w:r w:rsidRPr="00AA7C55">
              <w:rPr>
                <w:rFonts w:asciiTheme="minorHAnsi" w:hAnsiTheme="minorHAnsi"/>
                <w:color w:val="000000"/>
                <w:sz w:val="18"/>
                <w:szCs w:val="18"/>
              </w:rPr>
              <w:t>MHz</w:t>
            </w:r>
            <w:r w:rsidR="0070099E">
              <w:rPr>
                <w:rFonts w:asciiTheme="minorHAnsi" w:hAnsiTheme="minorHAnsi"/>
                <w:color w:val="000000"/>
                <w:sz w:val="18"/>
                <w:szCs w:val="18"/>
              </w:rPr>
              <w:t xml:space="preserve"> </w:t>
            </w:r>
            <w:r w:rsidRPr="00AA7C55">
              <w:rPr>
                <w:rFonts w:asciiTheme="minorHAnsi" w:hAnsiTheme="minorHAnsi"/>
                <w:color w:val="000000"/>
                <w:sz w:val="18"/>
                <w:szCs w:val="18"/>
              </w:rPr>
              <w:t>CA</w:t>
            </w:r>
          </w:p>
        </w:tc>
        <w:tc>
          <w:tcPr>
            <w:tcW w:w="720" w:type="dxa"/>
            <w:tcBorders>
              <w:top w:val="nil"/>
              <w:left w:val="nil"/>
              <w:bottom w:val="single" w:sz="4" w:space="0" w:color="auto"/>
              <w:right w:val="single" w:sz="4" w:space="0" w:color="auto"/>
            </w:tcBorders>
          </w:tcPr>
          <w:p w14:paraId="3B98D829" w14:textId="77777777" w:rsidR="00C873E9" w:rsidRPr="00AA7C55" w:rsidRDefault="002071E6" w:rsidP="009E13D0">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30</w:t>
            </w:r>
          </w:p>
          <w:p w14:paraId="00251A66" w14:textId="71A96D4A" w:rsidR="002071E6" w:rsidRPr="00AA7C55" w:rsidRDefault="002071E6" w:rsidP="009E13D0">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MHz</w:t>
            </w:r>
          </w:p>
        </w:tc>
        <w:tc>
          <w:tcPr>
            <w:tcW w:w="720" w:type="dxa"/>
            <w:tcBorders>
              <w:top w:val="nil"/>
              <w:left w:val="nil"/>
              <w:bottom w:val="single" w:sz="4" w:space="0" w:color="auto"/>
              <w:right w:val="single" w:sz="4" w:space="0" w:color="auto"/>
            </w:tcBorders>
            <w:shd w:val="clear" w:color="auto" w:fill="auto"/>
            <w:noWrap/>
            <w:vAlign w:val="bottom"/>
          </w:tcPr>
          <w:p w14:paraId="57665956" w14:textId="77777777" w:rsidR="002071E6" w:rsidRPr="00AA7C55" w:rsidRDefault="002071E6" w:rsidP="009E13D0">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35</w:t>
            </w:r>
          </w:p>
          <w:p w14:paraId="03888344" w14:textId="1434B202" w:rsidR="002071E6" w:rsidRPr="00AA7C55" w:rsidRDefault="002071E6" w:rsidP="0070099E">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MHz</w:t>
            </w:r>
          </w:p>
        </w:tc>
        <w:tc>
          <w:tcPr>
            <w:tcW w:w="810" w:type="dxa"/>
            <w:tcBorders>
              <w:top w:val="nil"/>
              <w:left w:val="nil"/>
              <w:bottom w:val="single" w:sz="4" w:space="0" w:color="auto"/>
              <w:right w:val="single" w:sz="4" w:space="0" w:color="auto"/>
            </w:tcBorders>
            <w:shd w:val="clear" w:color="auto" w:fill="auto"/>
            <w:noWrap/>
            <w:vAlign w:val="bottom"/>
          </w:tcPr>
          <w:p w14:paraId="2EEB4197" w14:textId="77777777" w:rsidR="002D3CF8" w:rsidRDefault="002071E6" w:rsidP="0070099E">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80+15</w:t>
            </w:r>
          </w:p>
          <w:p w14:paraId="2720691F" w14:textId="123FFF92" w:rsidR="002071E6" w:rsidRPr="00AA7C55" w:rsidRDefault="002071E6" w:rsidP="0070099E">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MHz</w:t>
            </w:r>
            <w:r w:rsidR="0070099E">
              <w:rPr>
                <w:rFonts w:asciiTheme="minorHAnsi" w:hAnsiTheme="minorHAnsi"/>
                <w:color w:val="000000"/>
                <w:sz w:val="18"/>
                <w:szCs w:val="18"/>
              </w:rPr>
              <w:t xml:space="preserve"> </w:t>
            </w:r>
            <w:r w:rsidRPr="00AA7C55">
              <w:rPr>
                <w:rFonts w:asciiTheme="minorHAnsi" w:hAnsiTheme="minorHAnsi"/>
                <w:color w:val="000000"/>
                <w:sz w:val="18"/>
                <w:szCs w:val="18"/>
              </w:rPr>
              <w:t>CA</w:t>
            </w:r>
          </w:p>
        </w:tc>
        <w:tc>
          <w:tcPr>
            <w:tcW w:w="709" w:type="dxa"/>
            <w:tcBorders>
              <w:top w:val="nil"/>
              <w:left w:val="nil"/>
              <w:bottom w:val="single" w:sz="4" w:space="0" w:color="auto"/>
              <w:right w:val="single" w:sz="4" w:space="0" w:color="auto"/>
            </w:tcBorders>
          </w:tcPr>
          <w:p w14:paraId="02EDCD80" w14:textId="77777777" w:rsidR="002071E6" w:rsidRPr="00AA7C55" w:rsidRDefault="002071E6" w:rsidP="009E13D0">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90</w:t>
            </w:r>
          </w:p>
          <w:p w14:paraId="216DA48D" w14:textId="77F14D7C" w:rsidR="002071E6" w:rsidRPr="00AA7C55" w:rsidRDefault="002071E6" w:rsidP="009E13D0">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MHz</w:t>
            </w:r>
          </w:p>
        </w:tc>
        <w:tc>
          <w:tcPr>
            <w:tcW w:w="664" w:type="dxa"/>
            <w:tcBorders>
              <w:top w:val="nil"/>
              <w:left w:val="nil"/>
              <w:bottom w:val="single" w:sz="4" w:space="0" w:color="auto"/>
              <w:right w:val="single" w:sz="4" w:space="0" w:color="auto"/>
            </w:tcBorders>
            <w:shd w:val="clear" w:color="auto" w:fill="auto"/>
            <w:noWrap/>
            <w:vAlign w:val="bottom"/>
          </w:tcPr>
          <w:p w14:paraId="7F3691C5" w14:textId="77777777" w:rsidR="002071E6" w:rsidRPr="00AA7C55" w:rsidRDefault="002071E6" w:rsidP="009E13D0">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95</w:t>
            </w:r>
          </w:p>
          <w:p w14:paraId="0E1E12A3" w14:textId="7850F0EE" w:rsidR="002071E6" w:rsidRPr="00AA7C55" w:rsidRDefault="002071E6" w:rsidP="0070099E">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MHz</w:t>
            </w:r>
          </w:p>
        </w:tc>
      </w:tr>
      <w:tr w:rsidR="002D3CF8" w:rsidRPr="00AA7C55" w14:paraId="7179DAAA" w14:textId="77777777" w:rsidTr="002D3CF8">
        <w:trPr>
          <w:trHeight w:val="44"/>
          <w:jc w:val="center"/>
        </w:trPr>
        <w:tc>
          <w:tcPr>
            <w:tcW w:w="998" w:type="dxa"/>
            <w:tcBorders>
              <w:top w:val="nil"/>
              <w:left w:val="single" w:sz="4" w:space="0" w:color="auto"/>
              <w:bottom w:val="single" w:sz="4" w:space="0" w:color="auto"/>
              <w:right w:val="single" w:sz="4" w:space="0" w:color="auto"/>
            </w:tcBorders>
            <w:shd w:val="clear" w:color="auto" w:fill="auto"/>
            <w:noWrap/>
            <w:vAlign w:val="bottom"/>
          </w:tcPr>
          <w:p w14:paraId="2FE2CA24" w14:textId="78B0EF79" w:rsidR="002071E6" w:rsidRPr="00AA7C55" w:rsidRDefault="002071E6" w:rsidP="002D3CF8">
            <w:pPr>
              <w:overflowPunct/>
              <w:autoSpaceDE/>
              <w:autoSpaceDN/>
              <w:adjustRightInd/>
              <w:spacing w:after="0"/>
              <w:jc w:val="right"/>
              <w:textAlignment w:val="auto"/>
              <w:rPr>
                <w:rFonts w:asciiTheme="minorHAnsi" w:hAnsiTheme="minorHAnsi"/>
                <w:color w:val="000000"/>
                <w:sz w:val="18"/>
                <w:szCs w:val="18"/>
              </w:rPr>
            </w:pPr>
            <w:r w:rsidRPr="00AA7C55">
              <w:rPr>
                <w:rFonts w:asciiTheme="minorHAnsi" w:hAnsiTheme="minorHAnsi"/>
                <w:color w:val="000000"/>
                <w:sz w:val="18"/>
                <w:szCs w:val="18"/>
              </w:rPr>
              <w:t>SU #RB</w:t>
            </w:r>
          </w:p>
        </w:tc>
        <w:tc>
          <w:tcPr>
            <w:tcW w:w="664" w:type="dxa"/>
            <w:tcBorders>
              <w:top w:val="nil"/>
              <w:left w:val="nil"/>
              <w:bottom w:val="single" w:sz="4" w:space="0" w:color="auto"/>
              <w:right w:val="single" w:sz="4" w:space="0" w:color="auto"/>
            </w:tcBorders>
          </w:tcPr>
          <w:p w14:paraId="1CA3A00C" w14:textId="66D68718" w:rsidR="002071E6" w:rsidRPr="00AA7C55" w:rsidRDefault="00C873E9" w:rsidP="009E13D0">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25</w:t>
            </w:r>
          </w:p>
        </w:tc>
        <w:tc>
          <w:tcPr>
            <w:tcW w:w="718" w:type="dxa"/>
            <w:tcBorders>
              <w:top w:val="nil"/>
              <w:left w:val="single" w:sz="4" w:space="0" w:color="auto"/>
              <w:bottom w:val="single" w:sz="4" w:space="0" w:color="auto"/>
              <w:right w:val="single" w:sz="4" w:space="0" w:color="auto"/>
            </w:tcBorders>
          </w:tcPr>
          <w:p w14:paraId="4C3FA7ED" w14:textId="091EBCDD" w:rsidR="002071E6" w:rsidRPr="00AA7C55" w:rsidRDefault="00C873E9" w:rsidP="009E13D0">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35</w:t>
            </w:r>
          </w:p>
        </w:tc>
        <w:tc>
          <w:tcPr>
            <w:tcW w:w="671" w:type="dxa"/>
            <w:tcBorders>
              <w:top w:val="nil"/>
              <w:left w:val="nil"/>
              <w:bottom w:val="single" w:sz="4" w:space="0" w:color="auto"/>
              <w:right w:val="single" w:sz="4" w:space="0" w:color="auto"/>
            </w:tcBorders>
          </w:tcPr>
          <w:p w14:paraId="411A1872" w14:textId="5C9D1DDA" w:rsidR="002071E6" w:rsidRPr="00AA7C55" w:rsidRDefault="00C873E9" w:rsidP="009E13D0">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52</w:t>
            </w:r>
          </w:p>
        </w:tc>
        <w:tc>
          <w:tcPr>
            <w:tcW w:w="759" w:type="dxa"/>
            <w:tcBorders>
              <w:top w:val="nil"/>
              <w:left w:val="nil"/>
              <w:bottom w:val="single" w:sz="4" w:space="0" w:color="auto"/>
              <w:right w:val="single" w:sz="4" w:space="0" w:color="auto"/>
            </w:tcBorders>
          </w:tcPr>
          <w:p w14:paraId="2128B617" w14:textId="7B4024F3" w:rsidR="002071E6" w:rsidRPr="00AA7C55" w:rsidRDefault="00C873E9" w:rsidP="009E13D0">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68</w:t>
            </w:r>
          </w:p>
        </w:tc>
        <w:tc>
          <w:tcPr>
            <w:tcW w:w="809" w:type="dxa"/>
            <w:tcBorders>
              <w:top w:val="nil"/>
              <w:left w:val="nil"/>
              <w:bottom w:val="single" w:sz="4" w:space="0" w:color="auto"/>
              <w:right w:val="single" w:sz="4" w:space="0" w:color="auto"/>
            </w:tcBorders>
            <w:shd w:val="clear" w:color="auto" w:fill="auto"/>
            <w:noWrap/>
            <w:vAlign w:val="bottom"/>
          </w:tcPr>
          <w:p w14:paraId="2A718A84" w14:textId="0CA7CE57" w:rsidR="002071E6" w:rsidRPr="00AA7C55" w:rsidRDefault="002071E6" w:rsidP="009E13D0">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185</w:t>
            </w:r>
          </w:p>
        </w:tc>
        <w:tc>
          <w:tcPr>
            <w:tcW w:w="720" w:type="dxa"/>
            <w:tcBorders>
              <w:top w:val="nil"/>
              <w:left w:val="nil"/>
              <w:bottom w:val="single" w:sz="4" w:space="0" w:color="auto"/>
              <w:right w:val="single" w:sz="4" w:space="0" w:color="auto"/>
            </w:tcBorders>
          </w:tcPr>
          <w:p w14:paraId="60DBAFB6" w14:textId="77777777" w:rsidR="002071E6" w:rsidRPr="00AA7C55" w:rsidRDefault="002071E6" w:rsidP="009E13D0">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160</w:t>
            </w:r>
          </w:p>
        </w:tc>
        <w:tc>
          <w:tcPr>
            <w:tcW w:w="720" w:type="dxa"/>
            <w:tcBorders>
              <w:top w:val="nil"/>
              <w:left w:val="nil"/>
              <w:bottom w:val="single" w:sz="4" w:space="0" w:color="auto"/>
              <w:right w:val="single" w:sz="4" w:space="0" w:color="auto"/>
            </w:tcBorders>
            <w:shd w:val="clear" w:color="auto" w:fill="auto"/>
            <w:noWrap/>
            <w:vAlign w:val="bottom"/>
          </w:tcPr>
          <w:p w14:paraId="3BAC4B90" w14:textId="77777777" w:rsidR="002071E6" w:rsidRPr="00AA7C55" w:rsidRDefault="002071E6" w:rsidP="009E13D0">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187</w:t>
            </w:r>
          </w:p>
        </w:tc>
        <w:tc>
          <w:tcPr>
            <w:tcW w:w="810" w:type="dxa"/>
            <w:tcBorders>
              <w:top w:val="nil"/>
              <w:left w:val="nil"/>
              <w:bottom w:val="single" w:sz="4" w:space="0" w:color="auto"/>
              <w:right w:val="single" w:sz="4" w:space="0" w:color="auto"/>
            </w:tcBorders>
            <w:shd w:val="clear" w:color="auto" w:fill="auto"/>
            <w:noWrap/>
            <w:vAlign w:val="bottom"/>
          </w:tcPr>
          <w:p w14:paraId="5BDBB039" w14:textId="77777777" w:rsidR="002071E6" w:rsidRPr="00AA7C55" w:rsidRDefault="002071E6" w:rsidP="009E13D0">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255</w:t>
            </w:r>
          </w:p>
        </w:tc>
        <w:tc>
          <w:tcPr>
            <w:tcW w:w="709" w:type="dxa"/>
            <w:tcBorders>
              <w:top w:val="nil"/>
              <w:left w:val="nil"/>
              <w:bottom w:val="single" w:sz="4" w:space="0" w:color="auto"/>
              <w:right w:val="single" w:sz="4" w:space="0" w:color="auto"/>
            </w:tcBorders>
          </w:tcPr>
          <w:p w14:paraId="16045D8A" w14:textId="77777777" w:rsidR="002071E6" w:rsidRPr="00AA7C55" w:rsidRDefault="002071E6" w:rsidP="009E13D0">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245</w:t>
            </w:r>
          </w:p>
        </w:tc>
        <w:tc>
          <w:tcPr>
            <w:tcW w:w="664" w:type="dxa"/>
            <w:tcBorders>
              <w:top w:val="nil"/>
              <w:left w:val="nil"/>
              <w:bottom w:val="single" w:sz="4" w:space="0" w:color="auto"/>
              <w:right w:val="single" w:sz="4" w:space="0" w:color="auto"/>
            </w:tcBorders>
            <w:shd w:val="clear" w:color="auto" w:fill="auto"/>
            <w:noWrap/>
            <w:vAlign w:val="bottom"/>
          </w:tcPr>
          <w:p w14:paraId="531BEDAD" w14:textId="77777777" w:rsidR="002071E6" w:rsidRPr="00AA7C55" w:rsidRDefault="002071E6" w:rsidP="009E13D0">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258</w:t>
            </w:r>
          </w:p>
        </w:tc>
      </w:tr>
      <w:tr w:rsidR="002D3CF8" w:rsidRPr="00AA7C55" w14:paraId="58762113" w14:textId="77777777" w:rsidTr="002D3CF8">
        <w:trPr>
          <w:trHeight w:val="44"/>
          <w:jc w:val="center"/>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C69D46" w14:textId="77777777" w:rsidR="002071E6" w:rsidRPr="00AA7C55" w:rsidRDefault="002071E6" w:rsidP="002D3CF8">
            <w:pPr>
              <w:overflowPunct/>
              <w:autoSpaceDE/>
              <w:autoSpaceDN/>
              <w:adjustRightInd/>
              <w:spacing w:after="0"/>
              <w:jc w:val="right"/>
              <w:textAlignment w:val="auto"/>
              <w:rPr>
                <w:rFonts w:asciiTheme="minorHAnsi" w:hAnsiTheme="minorHAnsi"/>
                <w:color w:val="000000"/>
                <w:sz w:val="18"/>
                <w:szCs w:val="18"/>
              </w:rPr>
            </w:pPr>
            <w:r w:rsidRPr="00AA7C55">
              <w:rPr>
                <w:rFonts w:asciiTheme="minorHAnsi" w:hAnsiTheme="minorHAnsi"/>
                <w:color w:val="000000"/>
                <w:sz w:val="18"/>
                <w:szCs w:val="18"/>
              </w:rPr>
              <w:t>SU [%]</w:t>
            </w:r>
          </w:p>
        </w:tc>
        <w:tc>
          <w:tcPr>
            <w:tcW w:w="664" w:type="dxa"/>
            <w:tcBorders>
              <w:top w:val="nil"/>
              <w:left w:val="nil"/>
              <w:bottom w:val="single" w:sz="4" w:space="0" w:color="auto"/>
              <w:right w:val="single" w:sz="4" w:space="0" w:color="auto"/>
            </w:tcBorders>
          </w:tcPr>
          <w:p w14:paraId="3B2FC243" w14:textId="26FB9356" w:rsidR="002071E6" w:rsidRPr="00AA7C55" w:rsidRDefault="00C873E9" w:rsidP="009E13D0">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64.3%</w:t>
            </w:r>
          </w:p>
        </w:tc>
        <w:tc>
          <w:tcPr>
            <w:tcW w:w="718" w:type="dxa"/>
            <w:tcBorders>
              <w:top w:val="nil"/>
              <w:left w:val="single" w:sz="4" w:space="0" w:color="auto"/>
              <w:bottom w:val="single" w:sz="4" w:space="0" w:color="auto"/>
              <w:right w:val="single" w:sz="4" w:space="0" w:color="auto"/>
            </w:tcBorders>
          </w:tcPr>
          <w:p w14:paraId="323C5005" w14:textId="614DD8A5" w:rsidR="002071E6" w:rsidRPr="00AA7C55" w:rsidRDefault="00C873E9" w:rsidP="009E13D0">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90.0%</w:t>
            </w:r>
          </w:p>
        </w:tc>
        <w:tc>
          <w:tcPr>
            <w:tcW w:w="671" w:type="dxa"/>
            <w:tcBorders>
              <w:top w:val="nil"/>
              <w:left w:val="nil"/>
              <w:bottom w:val="single" w:sz="4" w:space="0" w:color="auto"/>
              <w:right w:val="single" w:sz="4" w:space="0" w:color="auto"/>
            </w:tcBorders>
          </w:tcPr>
          <w:p w14:paraId="4ED694D3" w14:textId="1C501732" w:rsidR="002071E6" w:rsidRPr="00AA7C55" w:rsidRDefault="00C873E9" w:rsidP="009E13D0">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72.0%</w:t>
            </w:r>
          </w:p>
        </w:tc>
        <w:tc>
          <w:tcPr>
            <w:tcW w:w="759" w:type="dxa"/>
            <w:tcBorders>
              <w:top w:val="nil"/>
              <w:left w:val="nil"/>
              <w:bottom w:val="single" w:sz="4" w:space="0" w:color="auto"/>
              <w:right w:val="single" w:sz="4" w:space="0" w:color="auto"/>
            </w:tcBorders>
          </w:tcPr>
          <w:p w14:paraId="191847A9" w14:textId="4796A18B" w:rsidR="002071E6" w:rsidRPr="00AA7C55" w:rsidRDefault="00C873E9" w:rsidP="009E13D0">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94.2%</w:t>
            </w:r>
          </w:p>
        </w:tc>
        <w:tc>
          <w:tcPr>
            <w:tcW w:w="809" w:type="dxa"/>
            <w:tcBorders>
              <w:top w:val="nil"/>
              <w:left w:val="nil"/>
              <w:bottom w:val="single" w:sz="4" w:space="0" w:color="auto"/>
              <w:right w:val="single" w:sz="4" w:space="0" w:color="auto"/>
            </w:tcBorders>
            <w:shd w:val="clear" w:color="auto" w:fill="auto"/>
            <w:noWrap/>
            <w:vAlign w:val="bottom"/>
            <w:hideMark/>
          </w:tcPr>
          <w:p w14:paraId="608C6776" w14:textId="31DE60AE" w:rsidR="002071E6" w:rsidRPr="00AA7C55" w:rsidRDefault="002071E6" w:rsidP="009E13D0">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95.1%</w:t>
            </w:r>
          </w:p>
        </w:tc>
        <w:tc>
          <w:tcPr>
            <w:tcW w:w="720" w:type="dxa"/>
            <w:tcBorders>
              <w:top w:val="nil"/>
              <w:left w:val="nil"/>
              <w:bottom w:val="single" w:sz="4" w:space="0" w:color="auto"/>
              <w:right w:val="single" w:sz="4" w:space="0" w:color="auto"/>
            </w:tcBorders>
          </w:tcPr>
          <w:p w14:paraId="0569FC67" w14:textId="77777777" w:rsidR="002071E6" w:rsidRPr="00AA7C55" w:rsidRDefault="002071E6" w:rsidP="009E13D0">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82.3%</w:t>
            </w:r>
          </w:p>
        </w:tc>
        <w:tc>
          <w:tcPr>
            <w:tcW w:w="720" w:type="dxa"/>
            <w:tcBorders>
              <w:top w:val="nil"/>
              <w:left w:val="nil"/>
              <w:bottom w:val="single" w:sz="4" w:space="0" w:color="auto"/>
              <w:right w:val="single" w:sz="4" w:space="0" w:color="auto"/>
            </w:tcBorders>
            <w:shd w:val="clear" w:color="auto" w:fill="auto"/>
            <w:noWrap/>
            <w:vAlign w:val="bottom"/>
            <w:hideMark/>
          </w:tcPr>
          <w:p w14:paraId="23E4824E" w14:textId="77777777" w:rsidR="002071E6" w:rsidRPr="00AA7C55" w:rsidRDefault="002071E6" w:rsidP="009E13D0">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96.2%</w:t>
            </w:r>
          </w:p>
        </w:tc>
        <w:tc>
          <w:tcPr>
            <w:tcW w:w="810" w:type="dxa"/>
            <w:tcBorders>
              <w:top w:val="nil"/>
              <w:left w:val="nil"/>
              <w:bottom w:val="single" w:sz="4" w:space="0" w:color="auto"/>
              <w:right w:val="single" w:sz="4" w:space="0" w:color="auto"/>
            </w:tcBorders>
            <w:shd w:val="clear" w:color="auto" w:fill="auto"/>
            <w:noWrap/>
            <w:vAlign w:val="bottom"/>
            <w:hideMark/>
          </w:tcPr>
          <w:p w14:paraId="1067BDA9" w14:textId="77777777" w:rsidR="002071E6" w:rsidRPr="00AA7C55" w:rsidRDefault="002071E6" w:rsidP="009E13D0">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96.6%</w:t>
            </w:r>
          </w:p>
        </w:tc>
        <w:tc>
          <w:tcPr>
            <w:tcW w:w="709" w:type="dxa"/>
            <w:tcBorders>
              <w:top w:val="nil"/>
              <w:left w:val="nil"/>
              <w:bottom w:val="single" w:sz="4" w:space="0" w:color="auto"/>
              <w:right w:val="single" w:sz="4" w:space="0" w:color="auto"/>
            </w:tcBorders>
          </w:tcPr>
          <w:p w14:paraId="76E3AF45" w14:textId="77777777" w:rsidR="002071E6" w:rsidRPr="00AA7C55" w:rsidRDefault="002071E6" w:rsidP="009E13D0">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92.8%</w:t>
            </w:r>
          </w:p>
        </w:tc>
        <w:tc>
          <w:tcPr>
            <w:tcW w:w="664" w:type="dxa"/>
            <w:tcBorders>
              <w:top w:val="nil"/>
              <w:left w:val="nil"/>
              <w:bottom w:val="single" w:sz="4" w:space="0" w:color="auto"/>
              <w:right w:val="single" w:sz="4" w:space="0" w:color="auto"/>
            </w:tcBorders>
            <w:shd w:val="clear" w:color="auto" w:fill="auto"/>
            <w:noWrap/>
            <w:vAlign w:val="bottom"/>
            <w:hideMark/>
          </w:tcPr>
          <w:p w14:paraId="679EF6FC" w14:textId="77777777" w:rsidR="002071E6" w:rsidRPr="00AA7C55" w:rsidRDefault="002071E6" w:rsidP="009E13D0">
            <w:pPr>
              <w:overflowPunct/>
              <w:autoSpaceDE/>
              <w:autoSpaceDN/>
              <w:adjustRightInd/>
              <w:spacing w:after="0"/>
              <w:jc w:val="center"/>
              <w:textAlignment w:val="auto"/>
              <w:rPr>
                <w:rFonts w:asciiTheme="minorHAnsi" w:hAnsiTheme="minorHAnsi"/>
                <w:color w:val="000000"/>
                <w:sz w:val="18"/>
                <w:szCs w:val="18"/>
              </w:rPr>
            </w:pPr>
            <w:r w:rsidRPr="00AA7C55">
              <w:rPr>
                <w:rFonts w:asciiTheme="minorHAnsi" w:hAnsiTheme="minorHAnsi"/>
                <w:color w:val="000000"/>
                <w:sz w:val="18"/>
                <w:szCs w:val="18"/>
              </w:rPr>
              <w:t>97.8%</w:t>
            </w:r>
          </w:p>
        </w:tc>
      </w:tr>
    </w:tbl>
    <w:p w14:paraId="61F52872" w14:textId="0D558361" w:rsidR="002071E6" w:rsidRDefault="002071E6" w:rsidP="002071E6">
      <w:pPr>
        <w:spacing w:after="0"/>
      </w:pPr>
    </w:p>
    <w:p w14:paraId="151D91EE" w14:textId="665EE751" w:rsidR="002071E6" w:rsidRDefault="002071E6" w:rsidP="002071E6">
      <w:pPr>
        <w:spacing w:after="0"/>
        <w:rPr>
          <w:b/>
        </w:rPr>
      </w:pPr>
      <w:r w:rsidRPr="00AB5442">
        <w:rPr>
          <w:b/>
        </w:rPr>
        <w:t>Observation</w:t>
      </w:r>
      <w:r w:rsidR="00AA7C55">
        <w:rPr>
          <w:b/>
        </w:rPr>
        <w:t>s for new bandwidths</w:t>
      </w:r>
      <w:r w:rsidRPr="00AB5442">
        <w:rPr>
          <w:b/>
        </w:rPr>
        <w:t xml:space="preserve">: </w:t>
      </w:r>
    </w:p>
    <w:p w14:paraId="2A741C3F" w14:textId="77777777" w:rsidR="002071E6" w:rsidRDefault="002071E6" w:rsidP="002071E6">
      <w:pPr>
        <w:pStyle w:val="ListParagraph"/>
        <w:numPr>
          <w:ilvl w:val="0"/>
          <w:numId w:val="48"/>
        </w:numPr>
        <w:rPr>
          <w:b/>
        </w:rPr>
      </w:pPr>
      <w:r w:rsidRPr="00F1748C">
        <w:rPr>
          <w:b/>
        </w:rPr>
        <w:t>It can be seen from the above that, when feasible the SU in CA mode is only reduced by approximately 1% compared to a dedicated channel bandwidth.</w:t>
      </w:r>
    </w:p>
    <w:p w14:paraId="107A34BD" w14:textId="50BC9827" w:rsidR="002D3CF8" w:rsidRPr="002D3CF8" w:rsidRDefault="002071E6" w:rsidP="002D3CF8">
      <w:pPr>
        <w:pStyle w:val="ListParagraph"/>
        <w:numPr>
          <w:ilvl w:val="0"/>
          <w:numId w:val="48"/>
        </w:numPr>
        <w:rPr>
          <w:b/>
        </w:rPr>
      </w:pPr>
      <w:r>
        <w:rPr>
          <w:b/>
        </w:rPr>
        <w:t>In the case where UE would use the immediately lower BW</w:t>
      </w:r>
      <w:r w:rsidR="00AA7C55">
        <w:rPr>
          <w:b/>
        </w:rPr>
        <w:t>, UE bandwidth loss is not sig</w:t>
      </w:r>
      <w:r w:rsidR="002D3CF8">
        <w:rPr>
          <w:b/>
        </w:rPr>
        <w:t>n</w:t>
      </w:r>
      <w:r w:rsidR="00AA7C55">
        <w:rPr>
          <w:b/>
        </w:rPr>
        <w:t>ificant at large bandwidths.</w:t>
      </w:r>
    </w:p>
    <w:p w14:paraId="12CE9BEA" w14:textId="77777777" w:rsidR="00A645E7" w:rsidRDefault="00A645E7" w:rsidP="00D269D7">
      <w:pPr>
        <w:pStyle w:val="Heading1"/>
      </w:pPr>
      <w:r>
        <w:lastRenderedPageBreak/>
        <w:t>Conclusions</w:t>
      </w:r>
    </w:p>
    <w:p w14:paraId="0D46579F" w14:textId="0DD89E4C" w:rsidR="00426F33" w:rsidRDefault="006418C7" w:rsidP="002F6184">
      <w:pPr>
        <w:spacing w:after="0"/>
        <w:jc w:val="both"/>
      </w:pPr>
      <w:r>
        <w:t>In this contribution</w:t>
      </w:r>
      <w:r w:rsidR="00D94C42">
        <w:t>,</w:t>
      </w:r>
      <w:r w:rsidR="00596F26">
        <w:t xml:space="preserve"> </w:t>
      </w:r>
      <w:r w:rsidR="005D0F9B">
        <w:t xml:space="preserve">we </w:t>
      </w:r>
      <w:r w:rsidR="00C82075">
        <w:t xml:space="preserve">discuss </w:t>
      </w:r>
      <w:r w:rsidR="00C11006">
        <w:t>how to derive spectrum utilization for new channel bandwidths. We also discuss different alternatives to support new spectrum bandwidths on the UE side. These allowed the following proposals.</w:t>
      </w:r>
    </w:p>
    <w:p w14:paraId="4638D88E" w14:textId="77777777" w:rsidR="00C11006" w:rsidRDefault="00C11006" w:rsidP="002F6184">
      <w:pPr>
        <w:spacing w:after="0"/>
        <w:jc w:val="both"/>
      </w:pPr>
    </w:p>
    <w:p w14:paraId="1537E1CE" w14:textId="77777777" w:rsidR="00C11006" w:rsidRPr="008B6AEB" w:rsidRDefault="00C11006" w:rsidP="00C11006">
      <w:pPr>
        <w:spacing w:after="0"/>
        <w:rPr>
          <w:b/>
        </w:rPr>
      </w:pPr>
      <w:r w:rsidRPr="008B6AEB">
        <w:rPr>
          <w:b/>
        </w:rPr>
        <w:t>Proposal for SU of new channel bandwidth:</w:t>
      </w:r>
    </w:p>
    <w:p w14:paraId="1BDE48F2" w14:textId="77777777" w:rsidR="00C11006" w:rsidRPr="008B6AEB" w:rsidRDefault="00C11006" w:rsidP="00C11006">
      <w:pPr>
        <w:pStyle w:val="ListParagraph"/>
        <w:numPr>
          <w:ilvl w:val="0"/>
          <w:numId w:val="46"/>
        </w:numPr>
        <w:rPr>
          <w:b/>
        </w:rPr>
      </w:pPr>
      <w:r w:rsidRPr="008B6AEB">
        <w:rPr>
          <w:b/>
        </w:rPr>
        <w:t>Use linear fit with coefficients from Table 3 to derive SU</w:t>
      </w:r>
      <w:r>
        <w:rPr>
          <w:b/>
        </w:rPr>
        <w:t xml:space="preserve"> for new channel bandwidth between 5 MHz and 100 MHz</w:t>
      </w:r>
    </w:p>
    <w:p w14:paraId="39A12CBA" w14:textId="77777777" w:rsidR="00C11006" w:rsidRPr="008B6AEB" w:rsidRDefault="00C11006" w:rsidP="00C11006">
      <w:pPr>
        <w:pStyle w:val="ListParagraph"/>
        <w:numPr>
          <w:ilvl w:val="0"/>
          <w:numId w:val="46"/>
        </w:numPr>
        <w:rPr>
          <w:b/>
        </w:rPr>
      </w:pPr>
      <w:r w:rsidRPr="008B6AEB">
        <w:rPr>
          <w:b/>
        </w:rPr>
        <w:t>Correct resulting RB value with one less RB for channel BW between 25 MHz and 50 MHz:</w:t>
      </w:r>
    </w:p>
    <w:p w14:paraId="773DB9FA" w14:textId="3D4E60D8" w:rsidR="00C11006" w:rsidRPr="008B6AEB" w:rsidRDefault="00C11006" w:rsidP="00C11006">
      <w:pPr>
        <w:pStyle w:val="ListParagraph"/>
        <w:numPr>
          <w:ilvl w:val="1"/>
          <w:numId w:val="46"/>
        </w:numPr>
        <w:rPr>
          <w:b/>
        </w:rPr>
      </w:pPr>
      <w:r w:rsidRPr="008B6AEB">
        <w:rPr>
          <w:b/>
        </w:rPr>
        <w:t>-1RB for 15</w:t>
      </w:r>
      <w:r w:rsidR="00502E71">
        <w:rPr>
          <w:b/>
        </w:rPr>
        <w:t xml:space="preserve"> </w:t>
      </w:r>
      <w:r w:rsidRPr="008B6AEB">
        <w:rPr>
          <w:b/>
        </w:rPr>
        <w:t>kHz SCS for 25-40 MHz</w:t>
      </w:r>
    </w:p>
    <w:p w14:paraId="1614A6EE" w14:textId="02E6129E" w:rsidR="00C11006" w:rsidRPr="008B6AEB" w:rsidRDefault="00C11006" w:rsidP="00C11006">
      <w:pPr>
        <w:pStyle w:val="ListParagraph"/>
        <w:numPr>
          <w:ilvl w:val="1"/>
          <w:numId w:val="46"/>
        </w:numPr>
        <w:rPr>
          <w:b/>
        </w:rPr>
      </w:pPr>
      <w:r w:rsidRPr="008B6AEB">
        <w:rPr>
          <w:b/>
        </w:rPr>
        <w:t>-1RB for 30</w:t>
      </w:r>
      <w:r w:rsidR="00502E71">
        <w:rPr>
          <w:b/>
        </w:rPr>
        <w:t xml:space="preserve"> </w:t>
      </w:r>
      <w:r w:rsidRPr="008B6AEB">
        <w:rPr>
          <w:b/>
        </w:rPr>
        <w:t xml:space="preserve">kHz SCS for 30-50 MHz </w:t>
      </w:r>
    </w:p>
    <w:p w14:paraId="3154BCB9" w14:textId="4F64EA33" w:rsidR="00C11006" w:rsidRPr="008B6AEB" w:rsidRDefault="00C11006" w:rsidP="00C11006">
      <w:pPr>
        <w:pStyle w:val="ListParagraph"/>
        <w:numPr>
          <w:ilvl w:val="1"/>
          <w:numId w:val="46"/>
        </w:numPr>
        <w:rPr>
          <w:b/>
        </w:rPr>
      </w:pPr>
      <w:r w:rsidRPr="008B6AEB">
        <w:rPr>
          <w:b/>
        </w:rPr>
        <w:t xml:space="preserve">-1RB for </w:t>
      </w:r>
      <w:r w:rsidR="00471B0B">
        <w:rPr>
          <w:b/>
        </w:rPr>
        <w:t>6</w:t>
      </w:r>
      <w:r w:rsidRPr="008B6AEB">
        <w:rPr>
          <w:b/>
        </w:rPr>
        <w:t>0</w:t>
      </w:r>
      <w:r w:rsidR="00502E71">
        <w:rPr>
          <w:b/>
        </w:rPr>
        <w:t xml:space="preserve"> </w:t>
      </w:r>
      <w:r w:rsidRPr="008B6AEB">
        <w:rPr>
          <w:b/>
        </w:rPr>
        <w:t>kHz SCS for 40-50 MHz</w:t>
      </w:r>
    </w:p>
    <w:p w14:paraId="06072A6B" w14:textId="77777777" w:rsidR="00C11006" w:rsidRDefault="00C11006" w:rsidP="00471B0B">
      <w:pPr>
        <w:pStyle w:val="Caption"/>
        <w:keepNext/>
        <w:spacing w:after="0"/>
        <w:jc w:val="center"/>
      </w:pPr>
      <w:r>
        <w:t xml:space="preserve">Table </w:t>
      </w:r>
      <w:r w:rsidR="004863B3">
        <w:fldChar w:fldCharType="begin"/>
      </w:r>
      <w:r w:rsidR="004863B3">
        <w:instrText xml:space="preserve"> SEQ Table \* ARABIC </w:instrText>
      </w:r>
      <w:r w:rsidR="004863B3">
        <w:fldChar w:fldCharType="separate"/>
      </w:r>
      <w:r>
        <w:rPr>
          <w:noProof/>
        </w:rPr>
        <w:t>3</w:t>
      </w:r>
      <w:r w:rsidR="004863B3">
        <w:rPr>
          <w:noProof/>
        </w:rPr>
        <w:fldChar w:fldCharType="end"/>
      </w:r>
      <w:r>
        <w:t>: Linear fit coefficients for SU</w:t>
      </w:r>
    </w:p>
    <w:tbl>
      <w:tblPr>
        <w:tblW w:w="3724" w:type="dxa"/>
        <w:jc w:val="center"/>
        <w:tblInd w:w="93" w:type="dxa"/>
        <w:tblLook w:val="04A0" w:firstRow="1" w:lastRow="0" w:firstColumn="1" w:lastColumn="0" w:noHBand="0" w:noVBand="1"/>
      </w:tblPr>
      <w:tblGrid>
        <w:gridCol w:w="1024"/>
        <w:gridCol w:w="900"/>
        <w:gridCol w:w="900"/>
        <w:gridCol w:w="900"/>
      </w:tblGrid>
      <w:tr w:rsidR="00C11006" w:rsidRPr="00B75AE3" w14:paraId="522FD163" w14:textId="77777777" w:rsidTr="0070099E">
        <w:trPr>
          <w:trHeight w:val="288"/>
          <w:jc w:val="center"/>
        </w:trPr>
        <w:tc>
          <w:tcPr>
            <w:tcW w:w="10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F30CF5" w14:textId="77777777" w:rsidR="00C11006" w:rsidRPr="00B75AE3" w:rsidRDefault="00C11006" w:rsidP="00CB084D">
            <w:pPr>
              <w:overflowPunct/>
              <w:autoSpaceDE/>
              <w:autoSpaceDN/>
              <w:adjustRightInd/>
              <w:spacing w:after="0"/>
              <w:textAlignment w:val="auto"/>
              <w:rPr>
                <w:rFonts w:ascii="Calibri" w:hAnsi="Calibri"/>
                <w:color w:val="000000"/>
              </w:rPr>
            </w:pPr>
            <w:r w:rsidRPr="00B75AE3">
              <w:rPr>
                <w:rFonts w:ascii="Calibri" w:hAnsi="Calibri"/>
                <w:color w:val="000000"/>
              </w:rPr>
              <w:t>SCS [kHz]</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1644F4CA" w14:textId="77777777" w:rsidR="00C11006" w:rsidRPr="00B75AE3" w:rsidRDefault="00C11006" w:rsidP="00CB084D">
            <w:pPr>
              <w:overflowPunct/>
              <w:autoSpaceDE/>
              <w:autoSpaceDN/>
              <w:adjustRightInd/>
              <w:spacing w:after="0"/>
              <w:jc w:val="center"/>
              <w:textAlignment w:val="auto"/>
              <w:rPr>
                <w:rFonts w:ascii="Calibri" w:hAnsi="Calibri"/>
                <w:color w:val="000000"/>
              </w:rPr>
            </w:pPr>
            <w:r w:rsidRPr="00B75AE3">
              <w:rPr>
                <w:rFonts w:ascii="Calibri" w:hAnsi="Calibri"/>
                <w:color w:val="000000"/>
              </w:rPr>
              <w:t>15</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6E6F9E6E" w14:textId="77777777" w:rsidR="00C11006" w:rsidRPr="00B75AE3" w:rsidRDefault="00C11006" w:rsidP="00CB084D">
            <w:pPr>
              <w:overflowPunct/>
              <w:autoSpaceDE/>
              <w:autoSpaceDN/>
              <w:adjustRightInd/>
              <w:spacing w:after="0"/>
              <w:jc w:val="center"/>
              <w:textAlignment w:val="auto"/>
              <w:rPr>
                <w:rFonts w:ascii="Calibri" w:hAnsi="Calibri"/>
                <w:color w:val="000000"/>
              </w:rPr>
            </w:pPr>
            <w:r w:rsidRPr="00B75AE3">
              <w:rPr>
                <w:rFonts w:ascii="Calibri" w:hAnsi="Calibri"/>
                <w:color w:val="000000"/>
              </w:rPr>
              <w:t>30</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4B1DD2E1" w14:textId="77777777" w:rsidR="00C11006" w:rsidRPr="00B75AE3" w:rsidRDefault="00C11006" w:rsidP="00CB084D">
            <w:pPr>
              <w:overflowPunct/>
              <w:autoSpaceDE/>
              <w:autoSpaceDN/>
              <w:adjustRightInd/>
              <w:spacing w:after="0"/>
              <w:jc w:val="center"/>
              <w:textAlignment w:val="auto"/>
              <w:rPr>
                <w:rFonts w:ascii="Calibri" w:hAnsi="Calibri"/>
                <w:color w:val="000000"/>
              </w:rPr>
            </w:pPr>
            <w:r w:rsidRPr="00B75AE3">
              <w:rPr>
                <w:rFonts w:ascii="Calibri" w:hAnsi="Calibri"/>
                <w:color w:val="000000"/>
              </w:rPr>
              <w:t>60</w:t>
            </w:r>
          </w:p>
        </w:tc>
      </w:tr>
      <w:tr w:rsidR="00C11006" w:rsidRPr="00B75AE3" w14:paraId="752F61D1" w14:textId="77777777" w:rsidTr="0070099E">
        <w:trPr>
          <w:trHeight w:val="288"/>
          <w:jc w:val="center"/>
        </w:trPr>
        <w:tc>
          <w:tcPr>
            <w:tcW w:w="1024" w:type="dxa"/>
            <w:tcBorders>
              <w:top w:val="nil"/>
              <w:left w:val="single" w:sz="4" w:space="0" w:color="auto"/>
              <w:bottom w:val="single" w:sz="4" w:space="0" w:color="auto"/>
              <w:right w:val="single" w:sz="4" w:space="0" w:color="auto"/>
            </w:tcBorders>
            <w:shd w:val="clear" w:color="auto" w:fill="auto"/>
            <w:noWrap/>
            <w:vAlign w:val="bottom"/>
            <w:hideMark/>
          </w:tcPr>
          <w:p w14:paraId="0F80A007" w14:textId="77777777" w:rsidR="00C11006" w:rsidRPr="00B75AE3" w:rsidRDefault="00C11006" w:rsidP="00CB084D">
            <w:pPr>
              <w:overflowPunct/>
              <w:autoSpaceDE/>
              <w:autoSpaceDN/>
              <w:adjustRightInd/>
              <w:spacing w:after="0"/>
              <w:textAlignment w:val="auto"/>
              <w:rPr>
                <w:rFonts w:ascii="Calibri" w:hAnsi="Calibri"/>
                <w:color w:val="000000"/>
              </w:rPr>
            </w:pPr>
            <w:r w:rsidRPr="00B75AE3">
              <w:rPr>
                <w:rFonts w:ascii="Calibri" w:hAnsi="Calibri"/>
                <w:color w:val="000000"/>
              </w:rPr>
              <w:t>A1</w:t>
            </w:r>
          </w:p>
        </w:tc>
        <w:tc>
          <w:tcPr>
            <w:tcW w:w="900" w:type="dxa"/>
            <w:tcBorders>
              <w:top w:val="nil"/>
              <w:left w:val="nil"/>
              <w:bottom w:val="single" w:sz="4" w:space="0" w:color="auto"/>
              <w:right w:val="single" w:sz="4" w:space="0" w:color="auto"/>
            </w:tcBorders>
            <w:shd w:val="clear" w:color="auto" w:fill="auto"/>
            <w:noWrap/>
            <w:vAlign w:val="bottom"/>
            <w:hideMark/>
          </w:tcPr>
          <w:p w14:paraId="5487F6F2" w14:textId="77777777" w:rsidR="00C11006" w:rsidRPr="00B75AE3" w:rsidRDefault="00C11006" w:rsidP="00CB084D">
            <w:pPr>
              <w:overflowPunct/>
              <w:autoSpaceDE/>
              <w:autoSpaceDN/>
              <w:adjustRightInd/>
              <w:spacing w:after="0"/>
              <w:jc w:val="center"/>
              <w:textAlignment w:val="auto"/>
              <w:rPr>
                <w:rFonts w:ascii="Calibri" w:hAnsi="Calibri"/>
                <w:color w:val="000000"/>
              </w:rPr>
            </w:pPr>
            <w:r w:rsidRPr="00F63D36">
              <w:rPr>
                <w:rFonts w:ascii="Calibri" w:hAnsi="Calibri"/>
                <w:color w:val="000000"/>
              </w:rPr>
              <w:t>5.4509</w:t>
            </w:r>
          </w:p>
        </w:tc>
        <w:tc>
          <w:tcPr>
            <w:tcW w:w="900" w:type="dxa"/>
            <w:tcBorders>
              <w:top w:val="nil"/>
              <w:left w:val="nil"/>
              <w:bottom w:val="single" w:sz="4" w:space="0" w:color="auto"/>
              <w:right w:val="single" w:sz="4" w:space="0" w:color="auto"/>
            </w:tcBorders>
            <w:shd w:val="clear" w:color="auto" w:fill="auto"/>
            <w:noWrap/>
            <w:vAlign w:val="bottom"/>
            <w:hideMark/>
          </w:tcPr>
          <w:p w14:paraId="7F1989E9" w14:textId="77777777" w:rsidR="00C11006" w:rsidRPr="00B75AE3" w:rsidRDefault="00C11006" w:rsidP="00CB084D">
            <w:pPr>
              <w:overflowPunct/>
              <w:autoSpaceDE/>
              <w:autoSpaceDN/>
              <w:adjustRightInd/>
              <w:spacing w:after="0"/>
              <w:jc w:val="center"/>
              <w:textAlignment w:val="auto"/>
              <w:rPr>
                <w:rFonts w:ascii="Calibri" w:hAnsi="Calibri"/>
                <w:color w:val="000000"/>
              </w:rPr>
            </w:pPr>
            <w:r w:rsidRPr="00F63D36">
              <w:rPr>
                <w:rFonts w:ascii="Calibri" w:hAnsi="Calibri"/>
                <w:color w:val="000000"/>
              </w:rPr>
              <w:t>2.7619</w:t>
            </w:r>
          </w:p>
        </w:tc>
        <w:tc>
          <w:tcPr>
            <w:tcW w:w="900" w:type="dxa"/>
            <w:tcBorders>
              <w:top w:val="nil"/>
              <w:left w:val="nil"/>
              <w:bottom w:val="single" w:sz="4" w:space="0" w:color="auto"/>
              <w:right w:val="single" w:sz="4" w:space="0" w:color="auto"/>
            </w:tcBorders>
            <w:shd w:val="clear" w:color="auto" w:fill="auto"/>
            <w:noWrap/>
            <w:vAlign w:val="bottom"/>
            <w:hideMark/>
          </w:tcPr>
          <w:p w14:paraId="11CCB458" w14:textId="77777777" w:rsidR="00C11006" w:rsidRPr="00B75AE3" w:rsidRDefault="00C11006" w:rsidP="00CB084D">
            <w:pPr>
              <w:overflowPunct/>
              <w:autoSpaceDE/>
              <w:autoSpaceDN/>
              <w:adjustRightInd/>
              <w:spacing w:after="0"/>
              <w:jc w:val="center"/>
              <w:textAlignment w:val="auto"/>
              <w:rPr>
                <w:rFonts w:ascii="Calibri" w:hAnsi="Calibri"/>
                <w:color w:val="000000"/>
              </w:rPr>
            </w:pPr>
            <w:r w:rsidRPr="00F63D36">
              <w:rPr>
                <w:rFonts w:ascii="Calibri" w:hAnsi="Calibri"/>
                <w:color w:val="000000"/>
              </w:rPr>
              <w:t>1.3788</w:t>
            </w:r>
          </w:p>
        </w:tc>
      </w:tr>
      <w:tr w:rsidR="00471B0B" w:rsidRPr="00B75AE3" w14:paraId="20B0D09D" w14:textId="77777777" w:rsidTr="0070099E">
        <w:trPr>
          <w:trHeight w:val="288"/>
          <w:jc w:val="center"/>
        </w:trPr>
        <w:tc>
          <w:tcPr>
            <w:tcW w:w="1024" w:type="dxa"/>
            <w:tcBorders>
              <w:top w:val="nil"/>
              <w:left w:val="single" w:sz="4" w:space="0" w:color="auto"/>
              <w:bottom w:val="single" w:sz="4" w:space="0" w:color="auto"/>
              <w:right w:val="single" w:sz="4" w:space="0" w:color="auto"/>
            </w:tcBorders>
            <w:shd w:val="clear" w:color="auto" w:fill="auto"/>
            <w:noWrap/>
            <w:vAlign w:val="bottom"/>
            <w:hideMark/>
          </w:tcPr>
          <w:p w14:paraId="35C88490" w14:textId="77777777" w:rsidR="00C11006" w:rsidRPr="00B75AE3" w:rsidRDefault="00C11006" w:rsidP="00CB084D">
            <w:pPr>
              <w:overflowPunct/>
              <w:autoSpaceDE/>
              <w:autoSpaceDN/>
              <w:adjustRightInd/>
              <w:spacing w:after="0"/>
              <w:textAlignment w:val="auto"/>
              <w:rPr>
                <w:rFonts w:ascii="Calibri" w:hAnsi="Calibri"/>
                <w:color w:val="000000"/>
              </w:rPr>
            </w:pPr>
            <w:r w:rsidRPr="00B75AE3">
              <w:rPr>
                <w:rFonts w:ascii="Calibri" w:hAnsi="Calibri"/>
                <w:color w:val="000000"/>
              </w:rPr>
              <w:t>A0</w:t>
            </w:r>
          </w:p>
        </w:tc>
        <w:tc>
          <w:tcPr>
            <w:tcW w:w="900" w:type="dxa"/>
            <w:tcBorders>
              <w:top w:val="nil"/>
              <w:left w:val="nil"/>
              <w:bottom w:val="single" w:sz="4" w:space="0" w:color="auto"/>
              <w:right w:val="single" w:sz="4" w:space="0" w:color="auto"/>
            </w:tcBorders>
            <w:shd w:val="clear" w:color="auto" w:fill="auto"/>
            <w:noWrap/>
            <w:vAlign w:val="bottom"/>
            <w:hideMark/>
          </w:tcPr>
          <w:p w14:paraId="689268E5" w14:textId="77777777" w:rsidR="00C11006" w:rsidRPr="00B75AE3" w:rsidRDefault="00C11006" w:rsidP="00CB084D">
            <w:pPr>
              <w:overflowPunct/>
              <w:autoSpaceDE/>
              <w:autoSpaceDN/>
              <w:adjustRightInd/>
              <w:spacing w:after="0"/>
              <w:jc w:val="center"/>
              <w:textAlignment w:val="auto"/>
              <w:rPr>
                <w:rFonts w:ascii="Calibri" w:hAnsi="Calibri"/>
                <w:color w:val="000000"/>
              </w:rPr>
            </w:pPr>
            <w:r w:rsidRPr="00F63D36">
              <w:rPr>
                <w:rFonts w:ascii="Calibri" w:hAnsi="Calibri"/>
                <w:color w:val="000000"/>
              </w:rPr>
              <w:t>-2.7399</w:t>
            </w:r>
          </w:p>
        </w:tc>
        <w:tc>
          <w:tcPr>
            <w:tcW w:w="900" w:type="dxa"/>
            <w:tcBorders>
              <w:top w:val="nil"/>
              <w:left w:val="nil"/>
              <w:bottom w:val="single" w:sz="4" w:space="0" w:color="auto"/>
              <w:right w:val="single" w:sz="4" w:space="0" w:color="auto"/>
            </w:tcBorders>
            <w:shd w:val="clear" w:color="auto" w:fill="auto"/>
            <w:noWrap/>
            <w:vAlign w:val="bottom"/>
            <w:hideMark/>
          </w:tcPr>
          <w:p w14:paraId="53CEF833" w14:textId="77777777" w:rsidR="00C11006" w:rsidRPr="00B75AE3" w:rsidRDefault="00C11006" w:rsidP="00CB084D">
            <w:pPr>
              <w:overflowPunct/>
              <w:autoSpaceDE/>
              <w:autoSpaceDN/>
              <w:adjustRightInd/>
              <w:spacing w:after="0"/>
              <w:jc w:val="center"/>
              <w:textAlignment w:val="auto"/>
              <w:rPr>
                <w:rFonts w:ascii="Calibri" w:hAnsi="Calibri"/>
                <w:color w:val="000000"/>
              </w:rPr>
            </w:pPr>
            <w:r w:rsidRPr="00F63D36">
              <w:rPr>
                <w:rFonts w:ascii="Calibri" w:hAnsi="Calibri"/>
                <w:color w:val="000000"/>
              </w:rPr>
              <w:t>-3.9468</w:t>
            </w:r>
          </w:p>
        </w:tc>
        <w:tc>
          <w:tcPr>
            <w:tcW w:w="900" w:type="dxa"/>
            <w:tcBorders>
              <w:top w:val="nil"/>
              <w:left w:val="nil"/>
              <w:bottom w:val="single" w:sz="4" w:space="0" w:color="auto"/>
              <w:right w:val="single" w:sz="4" w:space="0" w:color="auto"/>
            </w:tcBorders>
            <w:shd w:val="clear" w:color="auto" w:fill="auto"/>
            <w:noWrap/>
            <w:vAlign w:val="bottom"/>
            <w:hideMark/>
          </w:tcPr>
          <w:p w14:paraId="4614A2A8" w14:textId="77777777" w:rsidR="00C11006" w:rsidRPr="00B75AE3" w:rsidRDefault="00C11006" w:rsidP="00CB084D">
            <w:pPr>
              <w:overflowPunct/>
              <w:autoSpaceDE/>
              <w:autoSpaceDN/>
              <w:adjustRightInd/>
              <w:spacing w:after="0"/>
              <w:jc w:val="center"/>
              <w:textAlignment w:val="auto"/>
              <w:rPr>
                <w:rFonts w:ascii="Calibri" w:hAnsi="Calibri"/>
                <w:color w:val="000000"/>
              </w:rPr>
            </w:pPr>
            <w:r w:rsidRPr="00F63D36">
              <w:rPr>
                <w:rFonts w:ascii="Calibri" w:hAnsi="Calibri"/>
                <w:color w:val="000000"/>
              </w:rPr>
              <w:t>-3.3747</w:t>
            </w:r>
          </w:p>
        </w:tc>
      </w:tr>
    </w:tbl>
    <w:p w14:paraId="1F5CD567" w14:textId="77777777" w:rsidR="00F1748C" w:rsidRDefault="00F1748C" w:rsidP="002F6184">
      <w:pPr>
        <w:spacing w:after="0"/>
        <w:jc w:val="both"/>
      </w:pPr>
    </w:p>
    <w:p w14:paraId="6B4C88C4" w14:textId="77777777" w:rsidR="0070099E" w:rsidRPr="00006053" w:rsidRDefault="0070099E" w:rsidP="0070099E">
      <w:pPr>
        <w:spacing w:after="0"/>
        <w:rPr>
          <w:b/>
        </w:rPr>
      </w:pPr>
      <w:r w:rsidRPr="00006053">
        <w:rPr>
          <w:b/>
        </w:rPr>
        <w:t>Proposal on studies for new channel bandwidth introductions:</w:t>
      </w:r>
    </w:p>
    <w:p w14:paraId="7227C6CE" w14:textId="77777777" w:rsidR="0070099E" w:rsidRPr="00006053" w:rsidRDefault="0070099E" w:rsidP="0070099E">
      <w:pPr>
        <w:pStyle w:val="ListParagraph"/>
        <w:numPr>
          <w:ilvl w:val="0"/>
          <w:numId w:val="41"/>
        </w:numPr>
        <w:spacing w:after="0"/>
        <w:rPr>
          <w:b/>
        </w:rPr>
      </w:pPr>
      <w:r w:rsidRPr="00006053">
        <w:rPr>
          <w:b/>
        </w:rPr>
        <w:t>Alternatives with minimum specification impact are studied first:</w:t>
      </w:r>
    </w:p>
    <w:p w14:paraId="7B02B38F" w14:textId="77777777" w:rsidR="0070099E" w:rsidRPr="00841292" w:rsidRDefault="0070099E" w:rsidP="0070099E">
      <w:pPr>
        <w:pStyle w:val="ListParagraph"/>
        <w:numPr>
          <w:ilvl w:val="1"/>
          <w:numId w:val="41"/>
        </w:numPr>
        <w:spacing w:after="0"/>
        <w:rPr>
          <w:b/>
        </w:rPr>
      </w:pPr>
      <w:r w:rsidRPr="00841292">
        <w:rPr>
          <w:b/>
        </w:rPr>
        <w:t>Use DL CA only</w:t>
      </w:r>
      <w:r>
        <w:rPr>
          <w:b/>
        </w:rPr>
        <w:t xml:space="preserve"> when possible and negligible SU impact</w:t>
      </w:r>
    </w:p>
    <w:p w14:paraId="31AF765A" w14:textId="77777777" w:rsidR="0070099E" w:rsidRPr="00006053" w:rsidRDefault="0070099E" w:rsidP="0070099E">
      <w:pPr>
        <w:pStyle w:val="ListParagraph"/>
        <w:numPr>
          <w:ilvl w:val="1"/>
          <w:numId w:val="41"/>
        </w:numPr>
        <w:spacing w:after="0"/>
      </w:pPr>
      <w:r w:rsidRPr="00006053">
        <w:rPr>
          <w:b/>
        </w:rPr>
        <w:t xml:space="preserve">Introduce new channel BW in BS only and UE supports with existing channel BW below </w:t>
      </w:r>
    </w:p>
    <w:p w14:paraId="335C28D9" w14:textId="77777777" w:rsidR="0070099E" w:rsidRPr="00006053" w:rsidRDefault="0070099E" w:rsidP="0070099E">
      <w:pPr>
        <w:pStyle w:val="ListParagraph"/>
        <w:numPr>
          <w:ilvl w:val="1"/>
          <w:numId w:val="41"/>
        </w:numPr>
        <w:spacing w:after="0"/>
      </w:pPr>
      <w:r w:rsidRPr="00841292">
        <w:rPr>
          <w:b/>
        </w:rPr>
        <w:t>Introduce new channel BW in BS only and UE supports new BW in DL only and uses asymmetric UL/DL channel BW with existing channel BW</w:t>
      </w:r>
      <w:r>
        <w:rPr>
          <w:b/>
        </w:rPr>
        <w:t xml:space="preserve"> in UL</w:t>
      </w:r>
    </w:p>
    <w:p w14:paraId="7197D19D" w14:textId="77777777" w:rsidR="0070099E" w:rsidRPr="00841292" w:rsidRDefault="0070099E" w:rsidP="0070099E">
      <w:pPr>
        <w:pStyle w:val="ListParagraph"/>
        <w:numPr>
          <w:ilvl w:val="0"/>
          <w:numId w:val="41"/>
        </w:numPr>
        <w:spacing w:after="0"/>
        <w:rPr>
          <w:b/>
        </w:rPr>
      </w:pPr>
      <w:r>
        <w:rPr>
          <w:b/>
        </w:rPr>
        <w:t>Generic (i.e. valid across all bands) new</w:t>
      </w:r>
      <w:r w:rsidRPr="00841292">
        <w:rPr>
          <w:b/>
        </w:rPr>
        <w:t xml:space="preserve"> channel BW</w:t>
      </w:r>
      <w:r>
        <w:rPr>
          <w:b/>
        </w:rPr>
        <w:t xml:space="preserve"> below 100 MHz are only introduced exceptionally in the</w:t>
      </w:r>
      <w:r w:rsidRPr="00841292">
        <w:rPr>
          <w:b/>
        </w:rPr>
        <w:t xml:space="preserve"> UE</w:t>
      </w:r>
      <w:r>
        <w:rPr>
          <w:b/>
        </w:rPr>
        <w:t xml:space="preserve"> specification</w:t>
      </w:r>
    </w:p>
    <w:p w14:paraId="68516A7F" w14:textId="77777777" w:rsidR="0070099E" w:rsidRPr="0070099E" w:rsidRDefault="0070099E" w:rsidP="0070099E">
      <w:pPr>
        <w:pStyle w:val="ListParagraph"/>
        <w:numPr>
          <w:ilvl w:val="0"/>
          <w:numId w:val="41"/>
        </w:numPr>
        <w:spacing w:after="0"/>
        <w:rPr>
          <w:b/>
        </w:rPr>
      </w:pPr>
      <w:r>
        <w:rPr>
          <w:b/>
        </w:rPr>
        <w:t>If introduced in UE specification,</w:t>
      </w:r>
      <w:r w:rsidRPr="00006053">
        <w:rPr>
          <w:b/>
        </w:rPr>
        <w:t xml:space="preserve"> band or frequency range spec</w:t>
      </w:r>
      <w:r>
        <w:rPr>
          <w:b/>
        </w:rPr>
        <w:t>ific</w:t>
      </w:r>
      <w:r w:rsidRPr="00006053">
        <w:rPr>
          <w:b/>
        </w:rPr>
        <w:t xml:space="preserve"> </w:t>
      </w:r>
      <w:r>
        <w:rPr>
          <w:b/>
        </w:rPr>
        <w:t>introduction is discussed</w:t>
      </w:r>
    </w:p>
    <w:p w14:paraId="166F6AB9" w14:textId="77777777" w:rsidR="0070099E" w:rsidRDefault="0070099E" w:rsidP="00AA7C55">
      <w:pPr>
        <w:spacing w:after="0"/>
        <w:rPr>
          <w:b/>
        </w:rPr>
      </w:pPr>
    </w:p>
    <w:p w14:paraId="1068A4B1" w14:textId="77777777" w:rsidR="00AA7C55" w:rsidRDefault="00AA7C55" w:rsidP="00AA7C55">
      <w:pPr>
        <w:spacing w:after="0"/>
        <w:rPr>
          <w:b/>
        </w:rPr>
      </w:pPr>
      <w:r w:rsidRPr="00AB5442">
        <w:rPr>
          <w:b/>
        </w:rPr>
        <w:t>Observation</w:t>
      </w:r>
      <w:r>
        <w:rPr>
          <w:b/>
        </w:rPr>
        <w:t>s for new bandwidths</w:t>
      </w:r>
      <w:r w:rsidRPr="00AB5442">
        <w:rPr>
          <w:b/>
        </w:rPr>
        <w:t xml:space="preserve">: </w:t>
      </w:r>
    </w:p>
    <w:p w14:paraId="1982CB62" w14:textId="77777777" w:rsidR="00AA7C55" w:rsidRDefault="00AA7C55" w:rsidP="00AA7C55">
      <w:pPr>
        <w:pStyle w:val="ListParagraph"/>
        <w:numPr>
          <w:ilvl w:val="0"/>
          <w:numId w:val="48"/>
        </w:numPr>
        <w:rPr>
          <w:b/>
        </w:rPr>
      </w:pPr>
      <w:r w:rsidRPr="00F1748C">
        <w:rPr>
          <w:b/>
        </w:rPr>
        <w:t>It can be seen from the above that, when feasible the SU in CA mode is only reduced by approximately 1% compared to a dedicated channel bandwidth.</w:t>
      </w:r>
    </w:p>
    <w:p w14:paraId="21142F30" w14:textId="37087886" w:rsidR="00AA7C55" w:rsidRPr="00AA7C55" w:rsidRDefault="00AA7C55" w:rsidP="00AA7C55">
      <w:pPr>
        <w:pStyle w:val="ListParagraph"/>
        <w:numPr>
          <w:ilvl w:val="0"/>
          <w:numId w:val="48"/>
        </w:numPr>
        <w:rPr>
          <w:b/>
        </w:rPr>
      </w:pPr>
      <w:r>
        <w:rPr>
          <w:b/>
        </w:rPr>
        <w:t>In the case where UE would use the immediately lower BW, UE bandwidth loss is not sig</w:t>
      </w:r>
      <w:r w:rsidR="00502E71">
        <w:rPr>
          <w:b/>
        </w:rPr>
        <w:t>n</w:t>
      </w:r>
      <w:r>
        <w:rPr>
          <w:b/>
        </w:rPr>
        <w:t>ificant at large bandwidths.</w:t>
      </w:r>
    </w:p>
    <w:p w14:paraId="03D6921F" w14:textId="77777777" w:rsidR="00F10F97" w:rsidRDefault="007321E3" w:rsidP="00C8525F">
      <w:pPr>
        <w:pStyle w:val="Heading1"/>
        <w:numPr>
          <w:ilvl w:val="0"/>
          <w:numId w:val="0"/>
        </w:numPr>
        <w:jc w:val="both"/>
      </w:pPr>
      <w:r>
        <w:t>R</w:t>
      </w:r>
      <w:r w:rsidR="00F10F97">
        <w:t>eferences</w:t>
      </w:r>
    </w:p>
    <w:p w14:paraId="79C42CC8" w14:textId="75F6E0E3" w:rsidR="008063BB" w:rsidRDefault="006F1C9E" w:rsidP="00E75179">
      <w:r>
        <w:t xml:space="preserve">[1] </w:t>
      </w:r>
      <w:r w:rsidR="00E75179">
        <w:t>RP-192219 Addition of 25, 30, 35 and 40 MHz channel bandwidth for NR band n25,</w:t>
      </w:r>
      <w:r w:rsidR="00E75179">
        <w:tab/>
        <w:t xml:space="preserve"> T-Mobile USA,</w:t>
      </w:r>
      <w:r w:rsidR="00196A11">
        <w:t xml:space="preserve"> </w:t>
      </w:r>
      <w:r w:rsidR="00E75179">
        <w:t>R</w:t>
      </w:r>
      <w:r w:rsidR="00196A11">
        <w:t>AN#</w:t>
      </w:r>
      <w:r w:rsidR="00E75179">
        <w:t>85</w:t>
      </w:r>
    </w:p>
    <w:p w14:paraId="368E1AC5" w14:textId="2403A8D9" w:rsidR="004C54D6" w:rsidRDefault="004C54D6" w:rsidP="00E75179">
      <w:r>
        <w:t xml:space="preserve">[2] R4-1913079, </w:t>
      </w:r>
      <w:r w:rsidR="005569B3" w:rsidRPr="005569B3">
        <w:t>Framework for handling ‘brand new CHBW” request(s)</w:t>
      </w:r>
      <w:r>
        <w:t>, RAN4 Vice-chairman, RAN4#92b</w:t>
      </w:r>
    </w:p>
    <w:p w14:paraId="61B30260" w14:textId="59B20FBB" w:rsidR="008063BB" w:rsidRDefault="008063BB" w:rsidP="00E75179">
      <w:r>
        <w:t xml:space="preserve">[3] </w:t>
      </w:r>
      <w:r w:rsidRPr="008063BB">
        <w:t>R4-1912984</w:t>
      </w:r>
      <w:r>
        <w:t>,</w:t>
      </w:r>
      <w:r w:rsidRPr="008063BB">
        <w:t xml:space="preserve"> Way forward on the new basket WID - adding wider CBW to existing NR bands</w:t>
      </w:r>
      <w:r>
        <w:t xml:space="preserve">, </w:t>
      </w:r>
      <w:r w:rsidRPr="008063BB">
        <w:t>Ericsson</w:t>
      </w:r>
      <w:r>
        <w:t>, Huawei, RAN4#92b</w:t>
      </w:r>
    </w:p>
    <w:p w14:paraId="1B1E602D" w14:textId="1C716DF1" w:rsidR="008063BB" w:rsidRDefault="008063BB" w:rsidP="00E75179">
      <w:r>
        <w:t xml:space="preserve">[4] </w:t>
      </w:r>
      <w:r w:rsidRPr="008063BB">
        <w:t>R4-1912329</w:t>
      </w:r>
      <w:r>
        <w:t>,</w:t>
      </w:r>
      <w:r w:rsidRPr="008063BB">
        <w:t xml:space="preserve"> Questions on 35MHz channel bandwidth support for Band n25</w:t>
      </w:r>
      <w:r>
        <w:t>, Skyworks Solutions Inc., RAN4#92b</w:t>
      </w:r>
    </w:p>
    <w:p w14:paraId="39F07494" w14:textId="4ABFFED5" w:rsidR="00841292" w:rsidRDefault="00841292" w:rsidP="00E75179">
      <w:r>
        <w:t xml:space="preserve">[5] </w:t>
      </w:r>
      <w:r w:rsidRPr="00841292">
        <w:t>R4-1911519</w:t>
      </w:r>
      <w:r>
        <w:t>,</w:t>
      </w:r>
      <w:r w:rsidRPr="00841292">
        <w:t xml:space="preserve"> new CBW for existing bands</w:t>
      </w:r>
      <w:r>
        <w:t>, Apple, RAN4#92b</w:t>
      </w:r>
    </w:p>
    <w:p w14:paraId="081CC462" w14:textId="37A1148D" w:rsidR="00AD7F8A" w:rsidRDefault="00AD7F8A" w:rsidP="00E75179">
      <w:r>
        <w:t>[</w:t>
      </w:r>
      <w:r w:rsidR="00841292">
        <w:t>6</w:t>
      </w:r>
      <w:r>
        <w:t xml:space="preserve">] </w:t>
      </w:r>
      <w:r w:rsidRPr="00AD7F8A">
        <w:t>R4-1912505</w:t>
      </w:r>
      <w:r>
        <w:t>,</w:t>
      </w:r>
      <w:r w:rsidRPr="00AD7F8A">
        <w:t xml:space="preserve"> Overlapping CA to support available spectrum with irregular bandwidth for NR</w:t>
      </w:r>
      <w:r>
        <w:t>, Huawei, Etisalat, RAN4#92b</w:t>
      </w:r>
    </w:p>
    <w:sectPr w:rsidR="00AD7F8A" w:rsidSect="00CC71EC">
      <w:footerReference w:type="default" r:id="rId10"/>
      <w:footnotePr>
        <w:numRestart w:val="eachSect"/>
      </w:footnotePr>
      <w:pgSz w:w="11907" w:h="16840" w:code="9"/>
      <w:pgMar w:top="1440" w:right="1440" w:bottom="1440" w:left="1440" w:header="850" w:footer="34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BF002" w16cid:durableId="20111D4C"/>
  <w16cid:commentId w16cid:paraId="0911C63A" w16cid:durableId="20112A33"/>
  <w16cid:commentId w16cid:paraId="210D4643" w16cid:durableId="20112A97"/>
  <w16cid:commentId w16cid:paraId="41501D09" w16cid:durableId="20112B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007947" w14:textId="77777777" w:rsidR="004863B3" w:rsidRDefault="004863B3">
      <w:r>
        <w:separator/>
      </w:r>
    </w:p>
  </w:endnote>
  <w:endnote w:type="continuationSeparator" w:id="0">
    <w:p w14:paraId="4E08ED37" w14:textId="77777777" w:rsidR="004863B3" w:rsidRDefault="00486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70099E" w:rsidRDefault="0070099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2EE979" w14:textId="77777777" w:rsidR="004863B3" w:rsidRDefault="004863B3">
      <w:r>
        <w:separator/>
      </w:r>
    </w:p>
  </w:footnote>
  <w:footnote w:type="continuationSeparator" w:id="0">
    <w:p w14:paraId="5AC2DABE" w14:textId="77777777" w:rsidR="004863B3" w:rsidRDefault="004863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D7403"/>
    <w:multiLevelType w:val="hybridMultilevel"/>
    <w:tmpl w:val="DBEC730C"/>
    <w:lvl w:ilvl="0" w:tplc="04090001">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1">
    <w:nsid w:val="0389573F"/>
    <w:multiLevelType w:val="hybridMultilevel"/>
    <w:tmpl w:val="CE702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1A5A1C"/>
    <w:multiLevelType w:val="hybridMultilevel"/>
    <w:tmpl w:val="5E707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3257A9"/>
    <w:multiLevelType w:val="hybridMultilevel"/>
    <w:tmpl w:val="4D981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531621"/>
    <w:multiLevelType w:val="hybridMultilevel"/>
    <w:tmpl w:val="6C880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nsid w:val="15F46875"/>
    <w:multiLevelType w:val="hybridMultilevel"/>
    <w:tmpl w:val="44B41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nsid w:val="1ADC1641"/>
    <w:multiLevelType w:val="hybridMultilevel"/>
    <w:tmpl w:val="EBF4B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0A7091"/>
    <w:multiLevelType w:val="hybridMultilevel"/>
    <w:tmpl w:val="6E808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EF30B1"/>
    <w:multiLevelType w:val="hybridMultilevel"/>
    <w:tmpl w:val="69BE1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F26F60"/>
    <w:multiLevelType w:val="hybridMultilevel"/>
    <w:tmpl w:val="1FF09450"/>
    <w:lvl w:ilvl="0" w:tplc="7A081392">
      <w:numFmt w:val="bullet"/>
      <w:lvlText w:val=""/>
      <w:lvlJc w:val="left"/>
      <w:pPr>
        <w:ind w:left="928" w:hanging="360"/>
      </w:pPr>
      <w:rPr>
        <w:rFonts w:ascii="Wingdings" w:eastAsia="Times New Roman" w:hAnsi="Wingdings"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nsid w:val="284F29E3"/>
    <w:multiLevelType w:val="hybridMultilevel"/>
    <w:tmpl w:val="3274D4B4"/>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13">
    <w:nsid w:val="28615C77"/>
    <w:multiLevelType w:val="hybridMultilevel"/>
    <w:tmpl w:val="F692C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4F665C"/>
    <w:multiLevelType w:val="hybridMultilevel"/>
    <w:tmpl w:val="3468F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CF70A5"/>
    <w:multiLevelType w:val="hybridMultilevel"/>
    <w:tmpl w:val="8604A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7">
    <w:nsid w:val="307E068B"/>
    <w:multiLevelType w:val="hybridMultilevel"/>
    <w:tmpl w:val="9F44A37A"/>
    <w:lvl w:ilvl="0" w:tplc="F912E2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4553EB"/>
    <w:multiLevelType w:val="hybridMultilevel"/>
    <w:tmpl w:val="2F7AD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E5352F"/>
    <w:multiLevelType w:val="hybridMultilevel"/>
    <w:tmpl w:val="2E4A2F58"/>
    <w:lvl w:ilvl="0" w:tplc="04090001">
      <w:start w:val="1"/>
      <w:numFmt w:val="bullet"/>
      <w:lvlText w:val=""/>
      <w:lvlJc w:val="left"/>
      <w:pPr>
        <w:ind w:left="797" w:hanging="360"/>
      </w:pPr>
      <w:rPr>
        <w:rFonts w:ascii="Symbol" w:hAnsi="Symbol" w:hint="default"/>
      </w:rPr>
    </w:lvl>
    <w:lvl w:ilvl="1" w:tplc="04090003">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21">
    <w:nsid w:val="3AEB0824"/>
    <w:multiLevelType w:val="hybridMultilevel"/>
    <w:tmpl w:val="FC54E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F32115"/>
    <w:multiLevelType w:val="hybridMultilevel"/>
    <w:tmpl w:val="98D46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D9A6B06"/>
    <w:multiLevelType w:val="hybridMultilevel"/>
    <w:tmpl w:val="211EF46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3E657176"/>
    <w:multiLevelType w:val="hybridMultilevel"/>
    <w:tmpl w:val="BE84655A"/>
    <w:lvl w:ilvl="0" w:tplc="4BCE8E2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3EBC679A"/>
    <w:multiLevelType w:val="hybridMultilevel"/>
    <w:tmpl w:val="A9DAB362"/>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26">
    <w:nsid w:val="41CD0FFF"/>
    <w:multiLevelType w:val="hybridMultilevel"/>
    <w:tmpl w:val="AF74814C"/>
    <w:lvl w:ilvl="0" w:tplc="852C72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31F2FC4"/>
    <w:multiLevelType w:val="hybridMultilevel"/>
    <w:tmpl w:val="5B482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nsid w:val="44541DB7"/>
    <w:multiLevelType w:val="hybridMultilevel"/>
    <w:tmpl w:val="39D03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6C66997"/>
    <w:multiLevelType w:val="hybridMultilevel"/>
    <w:tmpl w:val="36A829C0"/>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32">
    <w:nsid w:val="4C080935"/>
    <w:multiLevelType w:val="hybridMultilevel"/>
    <w:tmpl w:val="89226A32"/>
    <w:lvl w:ilvl="0" w:tplc="04090001">
      <w:start w:val="1"/>
      <w:numFmt w:val="bullet"/>
      <w:lvlText w:val=""/>
      <w:lvlJc w:val="left"/>
      <w:pPr>
        <w:ind w:left="721" w:hanging="360"/>
      </w:pPr>
      <w:rPr>
        <w:rFonts w:ascii="Symbol" w:hAnsi="Symbol" w:hint="default"/>
      </w:rPr>
    </w:lvl>
    <w:lvl w:ilvl="1" w:tplc="04090003">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33">
    <w:nsid w:val="4C7037B1"/>
    <w:multiLevelType w:val="hybridMultilevel"/>
    <w:tmpl w:val="990AB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55A331B"/>
    <w:multiLevelType w:val="hybridMultilevel"/>
    <w:tmpl w:val="BAC238EC"/>
    <w:lvl w:ilvl="0" w:tplc="3920E708">
      <w:start w:val="1"/>
      <w:numFmt w:val="bullet"/>
      <w:lvlText w:val="•"/>
      <w:lvlJc w:val="left"/>
      <w:pPr>
        <w:tabs>
          <w:tab w:val="num" w:pos="720"/>
        </w:tabs>
        <w:ind w:left="720" w:hanging="360"/>
      </w:pPr>
      <w:rPr>
        <w:rFonts w:ascii="Arial" w:hAnsi="Arial" w:hint="default"/>
      </w:rPr>
    </w:lvl>
    <w:lvl w:ilvl="1" w:tplc="B43E440E">
      <w:start w:val="1414"/>
      <w:numFmt w:val="bullet"/>
      <w:lvlText w:val="•"/>
      <w:lvlJc w:val="left"/>
      <w:pPr>
        <w:tabs>
          <w:tab w:val="num" w:pos="1440"/>
        </w:tabs>
        <w:ind w:left="1440" w:hanging="360"/>
      </w:pPr>
      <w:rPr>
        <w:rFonts w:ascii="Arial" w:hAnsi="Arial" w:hint="default"/>
      </w:rPr>
    </w:lvl>
    <w:lvl w:ilvl="2" w:tplc="2256C9FA" w:tentative="1">
      <w:start w:val="1"/>
      <w:numFmt w:val="bullet"/>
      <w:lvlText w:val="•"/>
      <w:lvlJc w:val="left"/>
      <w:pPr>
        <w:tabs>
          <w:tab w:val="num" w:pos="2160"/>
        </w:tabs>
        <w:ind w:left="2160" w:hanging="360"/>
      </w:pPr>
      <w:rPr>
        <w:rFonts w:ascii="Arial" w:hAnsi="Arial" w:hint="default"/>
      </w:rPr>
    </w:lvl>
    <w:lvl w:ilvl="3" w:tplc="FE4C45F2" w:tentative="1">
      <w:start w:val="1"/>
      <w:numFmt w:val="bullet"/>
      <w:lvlText w:val="•"/>
      <w:lvlJc w:val="left"/>
      <w:pPr>
        <w:tabs>
          <w:tab w:val="num" w:pos="2880"/>
        </w:tabs>
        <w:ind w:left="2880" w:hanging="360"/>
      </w:pPr>
      <w:rPr>
        <w:rFonts w:ascii="Arial" w:hAnsi="Arial" w:hint="default"/>
      </w:rPr>
    </w:lvl>
    <w:lvl w:ilvl="4" w:tplc="B9A446C2" w:tentative="1">
      <w:start w:val="1"/>
      <w:numFmt w:val="bullet"/>
      <w:lvlText w:val="•"/>
      <w:lvlJc w:val="left"/>
      <w:pPr>
        <w:tabs>
          <w:tab w:val="num" w:pos="3600"/>
        </w:tabs>
        <w:ind w:left="3600" w:hanging="360"/>
      </w:pPr>
      <w:rPr>
        <w:rFonts w:ascii="Arial" w:hAnsi="Arial" w:hint="default"/>
      </w:rPr>
    </w:lvl>
    <w:lvl w:ilvl="5" w:tplc="DD082BFC" w:tentative="1">
      <w:start w:val="1"/>
      <w:numFmt w:val="bullet"/>
      <w:lvlText w:val="•"/>
      <w:lvlJc w:val="left"/>
      <w:pPr>
        <w:tabs>
          <w:tab w:val="num" w:pos="4320"/>
        </w:tabs>
        <w:ind w:left="4320" w:hanging="360"/>
      </w:pPr>
      <w:rPr>
        <w:rFonts w:ascii="Arial" w:hAnsi="Arial" w:hint="default"/>
      </w:rPr>
    </w:lvl>
    <w:lvl w:ilvl="6" w:tplc="C088C116" w:tentative="1">
      <w:start w:val="1"/>
      <w:numFmt w:val="bullet"/>
      <w:lvlText w:val="•"/>
      <w:lvlJc w:val="left"/>
      <w:pPr>
        <w:tabs>
          <w:tab w:val="num" w:pos="5040"/>
        </w:tabs>
        <w:ind w:left="5040" w:hanging="360"/>
      </w:pPr>
      <w:rPr>
        <w:rFonts w:ascii="Arial" w:hAnsi="Arial" w:hint="default"/>
      </w:rPr>
    </w:lvl>
    <w:lvl w:ilvl="7" w:tplc="14988D90" w:tentative="1">
      <w:start w:val="1"/>
      <w:numFmt w:val="bullet"/>
      <w:lvlText w:val="•"/>
      <w:lvlJc w:val="left"/>
      <w:pPr>
        <w:tabs>
          <w:tab w:val="num" w:pos="5760"/>
        </w:tabs>
        <w:ind w:left="5760" w:hanging="360"/>
      </w:pPr>
      <w:rPr>
        <w:rFonts w:ascii="Arial" w:hAnsi="Arial" w:hint="default"/>
      </w:rPr>
    </w:lvl>
    <w:lvl w:ilvl="8" w:tplc="5DCCB4FC" w:tentative="1">
      <w:start w:val="1"/>
      <w:numFmt w:val="bullet"/>
      <w:lvlText w:val="•"/>
      <w:lvlJc w:val="left"/>
      <w:pPr>
        <w:tabs>
          <w:tab w:val="num" w:pos="6480"/>
        </w:tabs>
        <w:ind w:left="6480" w:hanging="360"/>
      </w:pPr>
      <w:rPr>
        <w:rFonts w:ascii="Arial" w:hAnsi="Arial" w:hint="default"/>
      </w:rPr>
    </w:lvl>
  </w:abstractNum>
  <w:abstractNum w:abstractNumId="35">
    <w:nsid w:val="56FC53D3"/>
    <w:multiLevelType w:val="hybridMultilevel"/>
    <w:tmpl w:val="F64E9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D5A0F7D"/>
    <w:multiLevelType w:val="hybridMultilevel"/>
    <w:tmpl w:val="B4CC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3376A2"/>
    <w:multiLevelType w:val="hybridMultilevel"/>
    <w:tmpl w:val="EBA4A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6F64269"/>
    <w:multiLevelType w:val="hybridMultilevel"/>
    <w:tmpl w:val="11AC5B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7F03AD2"/>
    <w:multiLevelType w:val="hybridMultilevel"/>
    <w:tmpl w:val="EE9C5E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C2A5DE0"/>
    <w:multiLevelType w:val="hybridMultilevel"/>
    <w:tmpl w:val="0794F8EA"/>
    <w:lvl w:ilvl="0" w:tplc="A3D48566">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11156D4"/>
    <w:multiLevelType w:val="hybridMultilevel"/>
    <w:tmpl w:val="B562ED68"/>
    <w:lvl w:ilvl="0" w:tplc="3710D7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65979F0"/>
    <w:multiLevelType w:val="hybridMultilevel"/>
    <w:tmpl w:val="951E25E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8551D1"/>
    <w:multiLevelType w:val="hybridMultilevel"/>
    <w:tmpl w:val="5330B2C8"/>
    <w:lvl w:ilvl="0" w:tplc="08F27A6E">
      <w:numFmt w:val="bullet"/>
      <w:lvlText w:val=""/>
      <w:lvlJc w:val="left"/>
      <w:pPr>
        <w:ind w:left="928" w:hanging="360"/>
      </w:pPr>
      <w:rPr>
        <w:rFonts w:ascii="Wingdings" w:eastAsia="Times New Roman" w:hAnsi="Wingdings"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342FC8"/>
    <w:multiLevelType w:val="hybridMultilevel"/>
    <w:tmpl w:val="2722C544"/>
    <w:lvl w:ilvl="0" w:tplc="9A2616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CDA0D87"/>
    <w:multiLevelType w:val="hybridMultilevel"/>
    <w:tmpl w:val="4C26AA3A"/>
    <w:lvl w:ilvl="0" w:tplc="7A081392">
      <w:numFmt w:val="bullet"/>
      <w:lvlText w:val=""/>
      <w:lvlJc w:val="left"/>
      <w:pPr>
        <w:ind w:left="928"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8"/>
  </w:num>
  <w:num w:numId="4">
    <w:abstractNumId w:val="45"/>
  </w:num>
  <w:num w:numId="5">
    <w:abstractNumId w:val="16"/>
  </w:num>
  <w:num w:numId="6">
    <w:abstractNumId w:val="5"/>
  </w:num>
  <w:num w:numId="7">
    <w:abstractNumId w:val="29"/>
  </w:num>
  <w:num w:numId="8">
    <w:abstractNumId w:val="41"/>
  </w:num>
  <w:num w:numId="9">
    <w:abstractNumId w:val="30"/>
  </w:num>
  <w:num w:numId="10">
    <w:abstractNumId w:val="20"/>
  </w:num>
  <w:num w:numId="11">
    <w:abstractNumId w:val="15"/>
  </w:num>
  <w:num w:numId="12">
    <w:abstractNumId w:val="3"/>
  </w:num>
  <w:num w:numId="13">
    <w:abstractNumId w:val="34"/>
  </w:num>
  <w:num w:numId="14">
    <w:abstractNumId w:val="27"/>
  </w:num>
  <w:num w:numId="15">
    <w:abstractNumId w:val="36"/>
  </w:num>
  <w:num w:numId="16">
    <w:abstractNumId w:val="33"/>
  </w:num>
  <w:num w:numId="17">
    <w:abstractNumId w:val="8"/>
  </w:num>
  <w:num w:numId="18">
    <w:abstractNumId w:val="2"/>
  </w:num>
  <w:num w:numId="19">
    <w:abstractNumId w:val="31"/>
  </w:num>
  <w:num w:numId="20">
    <w:abstractNumId w:val="13"/>
  </w:num>
  <w:num w:numId="21">
    <w:abstractNumId w:val="12"/>
  </w:num>
  <w:num w:numId="22">
    <w:abstractNumId w:val="35"/>
  </w:num>
  <w:num w:numId="23">
    <w:abstractNumId w:val="14"/>
  </w:num>
  <w:num w:numId="24">
    <w:abstractNumId w:val="25"/>
  </w:num>
  <w:num w:numId="25">
    <w:abstractNumId w:val="18"/>
  </w:num>
  <w:num w:numId="26">
    <w:abstractNumId w:val="10"/>
  </w:num>
  <w:num w:numId="27">
    <w:abstractNumId w:val="17"/>
  </w:num>
  <w:num w:numId="28">
    <w:abstractNumId w:val="26"/>
  </w:num>
  <w:num w:numId="29">
    <w:abstractNumId w:val="46"/>
  </w:num>
  <w:num w:numId="30">
    <w:abstractNumId w:val="42"/>
  </w:num>
  <w:num w:numId="31">
    <w:abstractNumId w:val="40"/>
  </w:num>
  <w:num w:numId="32">
    <w:abstractNumId w:val="24"/>
  </w:num>
  <w:num w:numId="33">
    <w:abstractNumId w:val="39"/>
  </w:num>
  <w:num w:numId="34">
    <w:abstractNumId w:val="32"/>
  </w:num>
  <w:num w:numId="35">
    <w:abstractNumId w:val="44"/>
  </w:num>
  <w:num w:numId="36">
    <w:abstractNumId w:val="11"/>
  </w:num>
  <w:num w:numId="37">
    <w:abstractNumId w:val="47"/>
  </w:num>
  <w:num w:numId="38">
    <w:abstractNumId w:val="43"/>
  </w:num>
  <w:num w:numId="39">
    <w:abstractNumId w:val="22"/>
  </w:num>
  <w:num w:numId="40">
    <w:abstractNumId w:val="0"/>
  </w:num>
  <w:num w:numId="41">
    <w:abstractNumId w:val="23"/>
  </w:num>
  <w:num w:numId="42">
    <w:abstractNumId w:val="6"/>
  </w:num>
  <w:num w:numId="43">
    <w:abstractNumId w:val="38"/>
  </w:num>
  <w:num w:numId="44">
    <w:abstractNumId w:val="9"/>
  </w:num>
  <w:num w:numId="45">
    <w:abstractNumId w:val="37"/>
  </w:num>
  <w:num w:numId="46">
    <w:abstractNumId w:val="1"/>
  </w:num>
  <w:num w:numId="47">
    <w:abstractNumId w:val="21"/>
  </w:num>
  <w:num w:numId="48">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FE8"/>
    <w:rsid w:val="00026262"/>
    <w:rsid w:val="0002648D"/>
    <w:rsid w:val="00026904"/>
    <w:rsid w:val="00026A59"/>
    <w:rsid w:val="00026DA3"/>
    <w:rsid w:val="00026F5D"/>
    <w:rsid w:val="0002723D"/>
    <w:rsid w:val="00027460"/>
    <w:rsid w:val="00027E1B"/>
    <w:rsid w:val="00027EBB"/>
    <w:rsid w:val="000301E7"/>
    <w:rsid w:val="00030386"/>
    <w:rsid w:val="00031165"/>
    <w:rsid w:val="00031CC0"/>
    <w:rsid w:val="0003252F"/>
    <w:rsid w:val="00032561"/>
    <w:rsid w:val="000326E2"/>
    <w:rsid w:val="00033398"/>
    <w:rsid w:val="00033827"/>
    <w:rsid w:val="00033AC7"/>
    <w:rsid w:val="00033DFA"/>
    <w:rsid w:val="00033F47"/>
    <w:rsid w:val="00034F28"/>
    <w:rsid w:val="0003564D"/>
    <w:rsid w:val="00035AE2"/>
    <w:rsid w:val="000361FD"/>
    <w:rsid w:val="000368DA"/>
    <w:rsid w:val="0003797B"/>
    <w:rsid w:val="000402AB"/>
    <w:rsid w:val="000412FD"/>
    <w:rsid w:val="000413D5"/>
    <w:rsid w:val="00041AF5"/>
    <w:rsid w:val="0004270D"/>
    <w:rsid w:val="00042CEA"/>
    <w:rsid w:val="00042E11"/>
    <w:rsid w:val="00044123"/>
    <w:rsid w:val="00044816"/>
    <w:rsid w:val="0004492F"/>
    <w:rsid w:val="00044985"/>
    <w:rsid w:val="00044FE8"/>
    <w:rsid w:val="00045776"/>
    <w:rsid w:val="00045975"/>
    <w:rsid w:val="00045A17"/>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61DE"/>
    <w:rsid w:val="00076D24"/>
    <w:rsid w:val="0007704A"/>
    <w:rsid w:val="000778A7"/>
    <w:rsid w:val="00077DCD"/>
    <w:rsid w:val="00077F33"/>
    <w:rsid w:val="00080C3A"/>
    <w:rsid w:val="00080E45"/>
    <w:rsid w:val="00081D13"/>
    <w:rsid w:val="00082230"/>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783"/>
    <w:rsid w:val="000E692C"/>
    <w:rsid w:val="000E6C16"/>
    <w:rsid w:val="000E71E1"/>
    <w:rsid w:val="000E79C6"/>
    <w:rsid w:val="000F031A"/>
    <w:rsid w:val="000F0576"/>
    <w:rsid w:val="000F0E69"/>
    <w:rsid w:val="000F0F33"/>
    <w:rsid w:val="000F1408"/>
    <w:rsid w:val="000F1736"/>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339"/>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2067"/>
    <w:rsid w:val="00172515"/>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5E00"/>
    <w:rsid w:val="001C614F"/>
    <w:rsid w:val="001C650E"/>
    <w:rsid w:val="001C6572"/>
    <w:rsid w:val="001C66BA"/>
    <w:rsid w:val="001C7A02"/>
    <w:rsid w:val="001D1093"/>
    <w:rsid w:val="001D109F"/>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6E8"/>
    <w:rsid w:val="001E399C"/>
    <w:rsid w:val="001E3ABE"/>
    <w:rsid w:val="001E3B64"/>
    <w:rsid w:val="001E4374"/>
    <w:rsid w:val="001E4987"/>
    <w:rsid w:val="001E4AE1"/>
    <w:rsid w:val="001E4F33"/>
    <w:rsid w:val="001E5048"/>
    <w:rsid w:val="001E5665"/>
    <w:rsid w:val="001E5D78"/>
    <w:rsid w:val="001E6112"/>
    <w:rsid w:val="001E6381"/>
    <w:rsid w:val="001E6C10"/>
    <w:rsid w:val="001E71A9"/>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1E6"/>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402E8"/>
    <w:rsid w:val="00240848"/>
    <w:rsid w:val="00240923"/>
    <w:rsid w:val="00240F0B"/>
    <w:rsid w:val="002410C7"/>
    <w:rsid w:val="0024120C"/>
    <w:rsid w:val="002414CC"/>
    <w:rsid w:val="002415BD"/>
    <w:rsid w:val="00241962"/>
    <w:rsid w:val="00241D80"/>
    <w:rsid w:val="00243513"/>
    <w:rsid w:val="00243F07"/>
    <w:rsid w:val="00244C32"/>
    <w:rsid w:val="00244D1C"/>
    <w:rsid w:val="00244E1F"/>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C8"/>
    <w:rsid w:val="0025430D"/>
    <w:rsid w:val="00254398"/>
    <w:rsid w:val="00254B95"/>
    <w:rsid w:val="00254D53"/>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04E"/>
    <w:rsid w:val="00265611"/>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CC1"/>
    <w:rsid w:val="00296E6B"/>
    <w:rsid w:val="00297451"/>
    <w:rsid w:val="00297A9D"/>
    <w:rsid w:val="002A17A3"/>
    <w:rsid w:val="002A1EF2"/>
    <w:rsid w:val="002A1FAF"/>
    <w:rsid w:val="002A2166"/>
    <w:rsid w:val="002A23C5"/>
    <w:rsid w:val="002A23C8"/>
    <w:rsid w:val="002A2993"/>
    <w:rsid w:val="002A3E86"/>
    <w:rsid w:val="002A41AA"/>
    <w:rsid w:val="002A4264"/>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3CF8"/>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5294"/>
    <w:rsid w:val="00315554"/>
    <w:rsid w:val="00315629"/>
    <w:rsid w:val="003157EA"/>
    <w:rsid w:val="0031609C"/>
    <w:rsid w:val="00316758"/>
    <w:rsid w:val="00316D72"/>
    <w:rsid w:val="00316E2C"/>
    <w:rsid w:val="00316EA0"/>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816"/>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B38"/>
    <w:rsid w:val="00360163"/>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A9B"/>
    <w:rsid w:val="00364D17"/>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25AB"/>
    <w:rsid w:val="00392C80"/>
    <w:rsid w:val="00393614"/>
    <w:rsid w:val="003936F2"/>
    <w:rsid w:val="00393803"/>
    <w:rsid w:val="00393873"/>
    <w:rsid w:val="003939D1"/>
    <w:rsid w:val="003944D0"/>
    <w:rsid w:val="00394550"/>
    <w:rsid w:val="00394D01"/>
    <w:rsid w:val="003950DD"/>
    <w:rsid w:val="0039517B"/>
    <w:rsid w:val="003951DB"/>
    <w:rsid w:val="00395A69"/>
    <w:rsid w:val="00395F3C"/>
    <w:rsid w:val="0039607A"/>
    <w:rsid w:val="0039612B"/>
    <w:rsid w:val="00396825"/>
    <w:rsid w:val="0039736A"/>
    <w:rsid w:val="00397B4D"/>
    <w:rsid w:val="00397D43"/>
    <w:rsid w:val="003A08A7"/>
    <w:rsid w:val="003A1B19"/>
    <w:rsid w:val="003A1B2D"/>
    <w:rsid w:val="003A330F"/>
    <w:rsid w:val="003A3793"/>
    <w:rsid w:val="003A469E"/>
    <w:rsid w:val="003A4876"/>
    <w:rsid w:val="003A48D5"/>
    <w:rsid w:val="003A5662"/>
    <w:rsid w:val="003A5AB5"/>
    <w:rsid w:val="003A609A"/>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795F"/>
    <w:rsid w:val="003E0202"/>
    <w:rsid w:val="003E074F"/>
    <w:rsid w:val="003E0B68"/>
    <w:rsid w:val="003E1296"/>
    <w:rsid w:val="003E162A"/>
    <w:rsid w:val="003E203F"/>
    <w:rsid w:val="003E2670"/>
    <w:rsid w:val="003E2A32"/>
    <w:rsid w:val="003E3722"/>
    <w:rsid w:val="003E3882"/>
    <w:rsid w:val="003E3BB1"/>
    <w:rsid w:val="003E4724"/>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D8B"/>
    <w:rsid w:val="0041639D"/>
    <w:rsid w:val="004163E0"/>
    <w:rsid w:val="0041657B"/>
    <w:rsid w:val="00416AA0"/>
    <w:rsid w:val="00417836"/>
    <w:rsid w:val="004201F9"/>
    <w:rsid w:val="0042030F"/>
    <w:rsid w:val="0042092C"/>
    <w:rsid w:val="0042164F"/>
    <w:rsid w:val="00421EB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28C3"/>
    <w:rsid w:val="0044292A"/>
    <w:rsid w:val="00442DA2"/>
    <w:rsid w:val="00442FA8"/>
    <w:rsid w:val="00443076"/>
    <w:rsid w:val="004431B5"/>
    <w:rsid w:val="004442A4"/>
    <w:rsid w:val="004446E5"/>
    <w:rsid w:val="00444DA8"/>
    <w:rsid w:val="00444EA5"/>
    <w:rsid w:val="004453CF"/>
    <w:rsid w:val="00445828"/>
    <w:rsid w:val="00445B93"/>
    <w:rsid w:val="00445CEA"/>
    <w:rsid w:val="00445FB2"/>
    <w:rsid w:val="00446695"/>
    <w:rsid w:val="00447967"/>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6656"/>
    <w:rsid w:val="00456E9B"/>
    <w:rsid w:val="00457955"/>
    <w:rsid w:val="00457FF1"/>
    <w:rsid w:val="00461450"/>
    <w:rsid w:val="00461C89"/>
    <w:rsid w:val="00461D1B"/>
    <w:rsid w:val="00461DBE"/>
    <w:rsid w:val="004622F2"/>
    <w:rsid w:val="00462353"/>
    <w:rsid w:val="004625F7"/>
    <w:rsid w:val="00462940"/>
    <w:rsid w:val="00462A57"/>
    <w:rsid w:val="004631AC"/>
    <w:rsid w:val="00463759"/>
    <w:rsid w:val="00463D83"/>
    <w:rsid w:val="00463E4C"/>
    <w:rsid w:val="00463EC0"/>
    <w:rsid w:val="0046566A"/>
    <w:rsid w:val="00465AE3"/>
    <w:rsid w:val="00466188"/>
    <w:rsid w:val="0046639A"/>
    <w:rsid w:val="00466525"/>
    <w:rsid w:val="004666B6"/>
    <w:rsid w:val="004673A8"/>
    <w:rsid w:val="004676DC"/>
    <w:rsid w:val="004679A1"/>
    <w:rsid w:val="00467B58"/>
    <w:rsid w:val="00470EA7"/>
    <w:rsid w:val="00471190"/>
    <w:rsid w:val="004711EF"/>
    <w:rsid w:val="00471B0B"/>
    <w:rsid w:val="00472523"/>
    <w:rsid w:val="00472760"/>
    <w:rsid w:val="00473001"/>
    <w:rsid w:val="004737E6"/>
    <w:rsid w:val="004744F8"/>
    <w:rsid w:val="00474557"/>
    <w:rsid w:val="0047468C"/>
    <w:rsid w:val="00474E3C"/>
    <w:rsid w:val="0047518D"/>
    <w:rsid w:val="00475B51"/>
    <w:rsid w:val="00475E71"/>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2EF"/>
    <w:rsid w:val="004863B3"/>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B01C9"/>
    <w:rsid w:val="004B05DB"/>
    <w:rsid w:val="004B0A57"/>
    <w:rsid w:val="004B0D02"/>
    <w:rsid w:val="004B0DA5"/>
    <w:rsid w:val="004B153D"/>
    <w:rsid w:val="004B166A"/>
    <w:rsid w:val="004B170F"/>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73EB"/>
    <w:rsid w:val="004B783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937"/>
    <w:rsid w:val="004C7F29"/>
    <w:rsid w:val="004D02D3"/>
    <w:rsid w:val="004D037C"/>
    <w:rsid w:val="004D0427"/>
    <w:rsid w:val="004D0C60"/>
    <w:rsid w:val="004D0D39"/>
    <w:rsid w:val="004D10D7"/>
    <w:rsid w:val="004D11A2"/>
    <w:rsid w:val="004D21E4"/>
    <w:rsid w:val="004D27CA"/>
    <w:rsid w:val="004D3ADB"/>
    <w:rsid w:val="004D3C23"/>
    <w:rsid w:val="004D3D59"/>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23A7"/>
    <w:rsid w:val="004E2554"/>
    <w:rsid w:val="004E289D"/>
    <w:rsid w:val="004E2C5F"/>
    <w:rsid w:val="004E2ED8"/>
    <w:rsid w:val="004E2F89"/>
    <w:rsid w:val="004E31BC"/>
    <w:rsid w:val="004E3817"/>
    <w:rsid w:val="004E4000"/>
    <w:rsid w:val="004E4A35"/>
    <w:rsid w:val="004E5418"/>
    <w:rsid w:val="004E585B"/>
    <w:rsid w:val="004E6B02"/>
    <w:rsid w:val="004E70A9"/>
    <w:rsid w:val="004E76F5"/>
    <w:rsid w:val="004F0970"/>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2E71"/>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100C"/>
    <w:rsid w:val="005311DD"/>
    <w:rsid w:val="00531227"/>
    <w:rsid w:val="00531682"/>
    <w:rsid w:val="005317BE"/>
    <w:rsid w:val="005320E2"/>
    <w:rsid w:val="00532738"/>
    <w:rsid w:val="00532F87"/>
    <w:rsid w:val="005332D7"/>
    <w:rsid w:val="0053355C"/>
    <w:rsid w:val="00533BA8"/>
    <w:rsid w:val="00533DD2"/>
    <w:rsid w:val="005346E8"/>
    <w:rsid w:val="0053569A"/>
    <w:rsid w:val="00535702"/>
    <w:rsid w:val="0053587E"/>
    <w:rsid w:val="0053685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4E1"/>
    <w:rsid w:val="00591628"/>
    <w:rsid w:val="00591961"/>
    <w:rsid w:val="005929A6"/>
    <w:rsid w:val="005934AF"/>
    <w:rsid w:val="00593D23"/>
    <w:rsid w:val="00594762"/>
    <w:rsid w:val="00595820"/>
    <w:rsid w:val="00595D9B"/>
    <w:rsid w:val="00596E62"/>
    <w:rsid w:val="00596F26"/>
    <w:rsid w:val="00597401"/>
    <w:rsid w:val="00597C42"/>
    <w:rsid w:val="005A1B4F"/>
    <w:rsid w:val="005A1E82"/>
    <w:rsid w:val="005A1E97"/>
    <w:rsid w:val="005A2454"/>
    <w:rsid w:val="005A27A8"/>
    <w:rsid w:val="005A2A9B"/>
    <w:rsid w:val="005A3CCD"/>
    <w:rsid w:val="005A40A1"/>
    <w:rsid w:val="005A445E"/>
    <w:rsid w:val="005A4A78"/>
    <w:rsid w:val="005A65EE"/>
    <w:rsid w:val="005A684B"/>
    <w:rsid w:val="005A6AB6"/>
    <w:rsid w:val="005A6AD0"/>
    <w:rsid w:val="005B05C2"/>
    <w:rsid w:val="005B0B42"/>
    <w:rsid w:val="005B0FD6"/>
    <w:rsid w:val="005B15C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20D4"/>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673"/>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A0"/>
    <w:rsid w:val="00612298"/>
    <w:rsid w:val="0061247F"/>
    <w:rsid w:val="006127A9"/>
    <w:rsid w:val="00612863"/>
    <w:rsid w:val="006134E7"/>
    <w:rsid w:val="00613D72"/>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40F9"/>
    <w:rsid w:val="006243CF"/>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61"/>
    <w:rsid w:val="0063224E"/>
    <w:rsid w:val="00632D15"/>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BD5"/>
    <w:rsid w:val="006920DB"/>
    <w:rsid w:val="006925E6"/>
    <w:rsid w:val="006926BC"/>
    <w:rsid w:val="006930A3"/>
    <w:rsid w:val="006933C9"/>
    <w:rsid w:val="0069348D"/>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60DA"/>
    <w:rsid w:val="006A657D"/>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3DC"/>
    <w:rsid w:val="006F771D"/>
    <w:rsid w:val="006F790F"/>
    <w:rsid w:val="007002D7"/>
    <w:rsid w:val="0070099E"/>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2FBC"/>
    <w:rsid w:val="007133EC"/>
    <w:rsid w:val="00713494"/>
    <w:rsid w:val="00713DBF"/>
    <w:rsid w:val="00713F0D"/>
    <w:rsid w:val="00714455"/>
    <w:rsid w:val="00714EED"/>
    <w:rsid w:val="00715F29"/>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DF4"/>
    <w:rsid w:val="00777FEA"/>
    <w:rsid w:val="00780234"/>
    <w:rsid w:val="00780611"/>
    <w:rsid w:val="00780B2A"/>
    <w:rsid w:val="00780D9A"/>
    <w:rsid w:val="007810AF"/>
    <w:rsid w:val="00781254"/>
    <w:rsid w:val="00781749"/>
    <w:rsid w:val="007832CA"/>
    <w:rsid w:val="0078393C"/>
    <w:rsid w:val="00783988"/>
    <w:rsid w:val="00783A89"/>
    <w:rsid w:val="007848B7"/>
    <w:rsid w:val="0078495F"/>
    <w:rsid w:val="007854CE"/>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158"/>
    <w:rsid w:val="007A7ACB"/>
    <w:rsid w:val="007A7D77"/>
    <w:rsid w:val="007A7F24"/>
    <w:rsid w:val="007B0104"/>
    <w:rsid w:val="007B0CAF"/>
    <w:rsid w:val="007B1026"/>
    <w:rsid w:val="007B1D67"/>
    <w:rsid w:val="007B1E88"/>
    <w:rsid w:val="007B2EEB"/>
    <w:rsid w:val="007B34A4"/>
    <w:rsid w:val="007B3803"/>
    <w:rsid w:val="007B3E89"/>
    <w:rsid w:val="007B4B86"/>
    <w:rsid w:val="007B4CE1"/>
    <w:rsid w:val="007B668A"/>
    <w:rsid w:val="007B692F"/>
    <w:rsid w:val="007B74A3"/>
    <w:rsid w:val="007B75FE"/>
    <w:rsid w:val="007B7756"/>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C92"/>
    <w:rsid w:val="007D6E1E"/>
    <w:rsid w:val="007D726E"/>
    <w:rsid w:val="007D73BB"/>
    <w:rsid w:val="007D77FB"/>
    <w:rsid w:val="007D782C"/>
    <w:rsid w:val="007D79DC"/>
    <w:rsid w:val="007E0159"/>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E2C"/>
    <w:rsid w:val="007F2CE5"/>
    <w:rsid w:val="007F2D82"/>
    <w:rsid w:val="007F3A0F"/>
    <w:rsid w:val="007F43AF"/>
    <w:rsid w:val="007F465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4B6E"/>
    <w:rsid w:val="008258E0"/>
    <w:rsid w:val="008263F4"/>
    <w:rsid w:val="00826ED5"/>
    <w:rsid w:val="0082779C"/>
    <w:rsid w:val="00830103"/>
    <w:rsid w:val="008307E4"/>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B00"/>
    <w:rsid w:val="00837D26"/>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C6"/>
    <w:rsid w:val="0088147A"/>
    <w:rsid w:val="0088160F"/>
    <w:rsid w:val="00881741"/>
    <w:rsid w:val="008817B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851"/>
    <w:rsid w:val="00894877"/>
    <w:rsid w:val="00894906"/>
    <w:rsid w:val="00895049"/>
    <w:rsid w:val="0089580A"/>
    <w:rsid w:val="00895822"/>
    <w:rsid w:val="0089582D"/>
    <w:rsid w:val="008958CA"/>
    <w:rsid w:val="008960B0"/>
    <w:rsid w:val="008961D9"/>
    <w:rsid w:val="00896A4B"/>
    <w:rsid w:val="00896A59"/>
    <w:rsid w:val="00896EFA"/>
    <w:rsid w:val="008970C1"/>
    <w:rsid w:val="008977C3"/>
    <w:rsid w:val="00897A28"/>
    <w:rsid w:val="00897C3C"/>
    <w:rsid w:val="00897D49"/>
    <w:rsid w:val="008A0D59"/>
    <w:rsid w:val="008A0F40"/>
    <w:rsid w:val="008A1A70"/>
    <w:rsid w:val="008A1E00"/>
    <w:rsid w:val="008A1FDB"/>
    <w:rsid w:val="008A201E"/>
    <w:rsid w:val="008A2041"/>
    <w:rsid w:val="008A2363"/>
    <w:rsid w:val="008A283A"/>
    <w:rsid w:val="008A28CA"/>
    <w:rsid w:val="008A2B9A"/>
    <w:rsid w:val="008A3196"/>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AF2"/>
    <w:rsid w:val="008D0F24"/>
    <w:rsid w:val="008D1301"/>
    <w:rsid w:val="008D169B"/>
    <w:rsid w:val="008D201C"/>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BCB"/>
    <w:rsid w:val="008E40CC"/>
    <w:rsid w:val="008E4B3E"/>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ED9"/>
    <w:rsid w:val="0091764F"/>
    <w:rsid w:val="009177C4"/>
    <w:rsid w:val="00920014"/>
    <w:rsid w:val="009206AC"/>
    <w:rsid w:val="009207B4"/>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9A0"/>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6005"/>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160"/>
    <w:rsid w:val="009A0322"/>
    <w:rsid w:val="009A08C9"/>
    <w:rsid w:val="009A1320"/>
    <w:rsid w:val="009A13EE"/>
    <w:rsid w:val="009A23AB"/>
    <w:rsid w:val="009A23AE"/>
    <w:rsid w:val="009A2BCA"/>
    <w:rsid w:val="009A30BB"/>
    <w:rsid w:val="009A33F9"/>
    <w:rsid w:val="009A3404"/>
    <w:rsid w:val="009A351F"/>
    <w:rsid w:val="009A4AAC"/>
    <w:rsid w:val="009A5201"/>
    <w:rsid w:val="009A5AC6"/>
    <w:rsid w:val="009A60BB"/>
    <w:rsid w:val="009A6AB4"/>
    <w:rsid w:val="009A70B3"/>
    <w:rsid w:val="009A780E"/>
    <w:rsid w:val="009A781D"/>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C3B"/>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3D0"/>
    <w:rsid w:val="009E1400"/>
    <w:rsid w:val="009E23F4"/>
    <w:rsid w:val="009E256D"/>
    <w:rsid w:val="009E2AF5"/>
    <w:rsid w:val="009E32C6"/>
    <w:rsid w:val="009E33F4"/>
    <w:rsid w:val="009E39C2"/>
    <w:rsid w:val="009E4618"/>
    <w:rsid w:val="009E4F63"/>
    <w:rsid w:val="009E6037"/>
    <w:rsid w:val="009E6373"/>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DF6"/>
    <w:rsid w:val="00AA3E68"/>
    <w:rsid w:val="00AA4C28"/>
    <w:rsid w:val="00AA57E7"/>
    <w:rsid w:val="00AA5C4A"/>
    <w:rsid w:val="00AA5DC7"/>
    <w:rsid w:val="00AA6288"/>
    <w:rsid w:val="00AA62E6"/>
    <w:rsid w:val="00AA674B"/>
    <w:rsid w:val="00AA6840"/>
    <w:rsid w:val="00AA75D5"/>
    <w:rsid w:val="00AA78D5"/>
    <w:rsid w:val="00AA7C5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5183"/>
    <w:rsid w:val="00AD5633"/>
    <w:rsid w:val="00AD57DD"/>
    <w:rsid w:val="00AD6196"/>
    <w:rsid w:val="00AD6249"/>
    <w:rsid w:val="00AD6743"/>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6B8"/>
    <w:rsid w:val="00B25977"/>
    <w:rsid w:val="00B25D5C"/>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3516"/>
    <w:rsid w:val="00B43EC2"/>
    <w:rsid w:val="00B444DF"/>
    <w:rsid w:val="00B45243"/>
    <w:rsid w:val="00B4580D"/>
    <w:rsid w:val="00B458DE"/>
    <w:rsid w:val="00B466DE"/>
    <w:rsid w:val="00B46708"/>
    <w:rsid w:val="00B46D69"/>
    <w:rsid w:val="00B470EF"/>
    <w:rsid w:val="00B47509"/>
    <w:rsid w:val="00B50FE9"/>
    <w:rsid w:val="00B512DB"/>
    <w:rsid w:val="00B51FC3"/>
    <w:rsid w:val="00B52DD7"/>
    <w:rsid w:val="00B52FFE"/>
    <w:rsid w:val="00B5300A"/>
    <w:rsid w:val="00B5304C"/>
    <w:rsid w:val="00B55195"/>
    <w:rsid w:val="00B55383"/>
    <w:rsid w:val="00B553BD"/>
    <w:rsid w:val="00B5548F"/>
    <w:rsid w:val="00B567F2"/>
    <w:rsid w:val="00B56FED"/>
    <w:rsid w:val="00B5788D"/>
    <w:rsid w:val="00B60013"/>
    <w:rsid w:val="00B6005B"/>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EC"/>
    <w:rsid w:val="00B7448D"/>
    <w:rsid w:val="00B74E7B"/>
    <w:rsid w:val="00B7516D"/>
    <w:rsid w:val="00B7527A"/>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56A4"/>
    <w:rsid w:val="00B85E80"/>
    <w:rsid w:val="00B86FC3"/>
    <w:rsid w:val="00B90258"/>
    <w:rsid w:val="00B90D93"/>
    <w:rsid w:val="00B9129A"/>
    <w:rsid w:val="00B91DDC"/>
    <w:rsid w:val="00B9234B"/>
    <w:rsid w:val="00B925D4"/>
    <w:rsid w:val="00B92738"/>
    <w:rsid w:val="00B928E2"/>
    <w:rsid w:val="00B931F3"/>
    <w:rsid w:val="00B93D50"/>
    <w:rsid w:val="00B94204"/>
    <w:rsid w:val="00B9429D"/>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74A"/>
    <w:rsid w:val="00C10BB2"/>
    <w:rsid w:val="00C11006"/>
    <w:rsid w:val="00C1179C"/>
    <w:rsid w:val="00C119CA"/>
    <w:rsid w:val="00C11DEB"/>
    <w:rsid w:val="00C12768"/>
    <w:rsid w:val="00C127B9"/>
    <w:rsid w:val="00C127DA"/>
    <w:rsid w:val="00C12ED3"/>
    <w:rsid w:val="00C137A0"/>
    <w:rsid w:val="00C13B9C"/>
    <w:rsid w:val="00C15E92"/>
    <w:rsid w:val="00C17516"/>
    <w:rsid w:val="00C17643"/>
    <w:rsid w:val="00C17EF0"/>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EA2"/>
    <w:rsid w:val="00C33FED"/>
    <w:rsid w:val="00C3471C"/>
    <w:rsid w:val="00C34C17"/>
    <w:rsid w:val="00C35112"/>
    <w:rsid w:val="00C355E3"/>
    <w:rsid w:val="00C358D9"/>
    <w:rsid w:val="00C35942"/>
    <w:rsid w:val="00C35AC5"/>
    <w:rsid w:val="00C36E28"/>
    <w:rsid w:val="00C379A7"/>
    <w:rsid w:val="00C40262"/>
    <w:rsid w:val="00C416A5"/>
    <w:rsid w:val="00C418EF"/>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3E9"/>
    <w:rsid w:val="00C8740E"/>
    <w:rsid w:val="00C874DF"/>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66C"/>
    <w:rsid w:val="00CA599D"/>
    <w:rsid w:val="00CA5F1E"/>
    <w:rsid w:val="00CA60BE"/>
    <w:rsid w:val="00CA62B0"/>
    <w:rsid w:val="00CA641D"/>
    <w:rsid w:val="00CA73EE"/>
    <w:rsid w:val="00CA7927"/>
    <w:rsid w:val="00CA7A66"/>
    <w:rsid w:val="00CA7AD0"/>
    <w:rsid w:val="00CA7B95"/>
    <w:rsid w:val="00CB0608"/>
    <w:rsid w:val="00CB06C8"/>
    <w:rsid w:val="00CB084D"/>
    <w:rsid w:val="00CB0E08"/>
    <w:rsid w:val="00CB0EC8"/>
    <w:rsid w:val="00CB1080"/>
    <w:rsid w:val="00CB22D3"/>
    <w:rsid w:val="00CB2685"/>
    <w:rsid w:val="00CB395D"/>
    <w:rsid w:val="00CB3C15"/>
    <w:rsid w:val="00CB3F4A"/>
    <w:rsid w:val="00CB5115"/>
    <w:rsid w:val="00CB5137"/>
    <w:rsid w:val="00CB5B2A"/>
    <w:rsid w:val="00CB5D87"/>
    <w:rsid w:val="00CB5E01"/>
    <w:rsid w:val="00CB61B5"/>
    <w:rsid w:val="00CB6449"/>
    <w:rsid w:val="00CB702A"/>
    <w:rsid w:val="00CB70ED"/>
    <w:rsid w:val="00CB7907"/>
    <w:rsid w:val="00CB7D59"/>
    <w:rsid w:val="00CC076D"/>
    <w:rsid w:val="00CC0AC6"/>
    <w:rsid w:val="00CC0DE9"/>
    <w:rsid w:val="00CC1AA6"/>
    <w:rsid w:val="00CC1B2D"/>
    <w:rsid w:val="00CC1F35"/>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AEE"/>
    <w:rsid w:val="00CC7C4D"/>
    <w:rsid w:val="00CD036C"/>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5F3A"/>
    <w:rsid w:val="00CE6996"/>
    <w:rsid w:val="00CE6D23"/>
    <w:rsid w:val="00CE72B9"/>
    <w:rsid w:val="00CE73E0"/>
    <w:rsid w:val="00CE752E"/>
    <w:rsid w:val="00CE783C"/>
    <w:rsid w:val="00CF0CC0"/>
    <w:rsid w:val="00CF1715"/>
    <w:rsid w:val="00CF18E6"/>
    <w:rsid w:val="00CF1FD9"/>
    <w:rsid w:val="00CF2558"/>
    <w:rsid w:val="00CF28A3"/>
    <w:rsid w:val="00CF3324"/>
    <w:rsid w:val="00CF387C"/>
    <w:rsid w:val="00CF3AAF"/>
    <w:rsid w:val="00CF4EE4"/>
    <w:rsid w:val="00CF587C"/>
    <w:rsid w:val="00CF5A19"/>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65E5"/>
    <w:rsid w:val="00D666A6"/>
    <w:rsid w:val="00D67523"/>
    <w:rsid w:val="00D677A6"/>
    <w:rsid w:val="00D677FE"/>
    <w:rsid w:val="00D6782A"/>
    <w:rsid w:val="00D701A1"/>
    <w:rsid w:val="00D70917"/>
    <w:rsid w:val="00D70DA8"/>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F5D"/>
    <w:rsid w:val="00D85402"/>
    <w:rsid w:val="00D866D2"/>
    <w:rsid w:val="00D8701C"/>
    <w:rsid w:val="00D879BD"/>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CE1"/>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B21"/>
    <w:rsid w:val="00DE4CFF"/>
    <w:rsid w:val="00DE581C"/>
    <w:rsid w:val="00DE5D41"/>
    <w:rsid w:val="00DE6FAD"/>
    <w:rsid w:val="00DE730F"/>
    <w:rsid w:val="00DE745F"/>
    <w:rsid w:val="00DE79AB"/>
    <w:rsid w:val="00DF0001"/>
    <w:rsid w:val="00DF0772"/>
    <w:rsid w:val="00DF089D"/>
    <w:rsid w:val="00DF0C82"/>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2243"/>
    <w:rsid w:val="00E1240C"/>
    <w:rsid w:val="00E1246D"/>
    <w:rsid w:val="00E125E0"/>
    <w:rsid w:val="00E128A8"/>
    <w:rsid w:val="00E147B3"/>
    <w:rsid w:val="00E148EA"/>
    <w:rsid w:val="00E15910"/>
    <w:rsid w:val="00E1604A"/>
    <w:rsid w:val="00E165AB"/>
    <w:rsid w:val="00E16C24"/>
    <w:rsid w:val="00E1726B"/>
    <w:rsid w:val="00E172E8"/>
    <w:rsid w:val="00E17333"/>
    <w:rsid w:val="00E176A4"/>
    <w:rsid w:val="00E17A5D"/>
    <w:rsid w:val="00E17C30"/>
    <w:rsid w:val="00E17D32"/>
    <w:rsid w:val="00E17EAD"/>
    <w:rsid w:val="00E17FFD"/>
    <w:rsid w:val="00E22013"/>
    <w:rsid w:val="00E2213D"/>
    <w:rsid w:val="00E2263E"/>
    <w:rsid w:val="00E22AC6"/>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80F"/>
    <w:rsid w:val="00E27C58"/>
    <w:rsid w:val="00E27C76"/>
    <w:rsid w:val="00E27F9B"/>
    <w:rsid w:val="00E31767"/>
    <w:rsid w:val="00E318A3"/>
    <w:rsid w:val="00E31F45"/>
    <w:rsid w:val="00E3201A"/>
    <w:rsid w:val="00E32A4A"/>
    <w:rsid w:val="00E32B29"/>
    <w:rsid w:val="00E33ABD"/>
    <w:rsid w:val="00E3482C"/>
    <w:rsid w:val="00E34A05"/>
    <w:rsid w:val="00E34BA2"/>
    <w:rsid w:val="00E34EDA"/>
    <w:rsid w:val="00E35055"/>
    <w:rsid w:val="00E353D1"/>
    <w:rsid w:val="00E35F96"/>
    <w:rsid w:val="00E36478"/>
    <w:rsid w:val="00E3660B"/>
    <w:rsid w:val="00E3709C"/>
    <w:rsid w:val="00E402A1"/>
    <w:rsid w:val="00E407D2"/>
    <w:rsid w:val="00E40843"/>
    <w:rsid w:val="00E409A0"/>
    <w:rsid w:val="00E40AA3"/>
    <w:rsid w:val="00E40F03"/>
    <w:rsid w:val="00E41349"/>
    <w:rsid w:val="00E41973"/>
    <w:rsid w:val="00E4202F"/>
    <w:rsid w:val="00E4298D"/>
    <w:rsid w:val="00E42C21"/>
    <w:rsid w:val="00E430DE"/>
    <w:rsid w:val="00E431B1"/>
    <w:rsid w:val="00E437D2"/>
    <w:rsid w:val="00E43CCD"/>
    <w:rsid w:val="00E44258"/>
    <w:rsid w:val="00E443A8"/>
    <w:rsid w:val="00E44587"/>
    <w:rsid w:val="00E44632"/>
    <w:rsid w:val="00E44BC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3464"/>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5CE"/>
    <w:rsid w:val="00E876F8"/>
    <w:rsid w:val="00E87B44"/>
    <w:rsid w:val="00E87D7D"/>
    <w:rsid w:val="00E90341"/>
    <w:rsid w:val="00E9034B"/>
    <w:rsid w:val="00E909A1"/>
    <w:rsid w:val="00E90E4D"/>
    <w:rsid w:val="00E91866"/>
    <w:rsid w:val="00E92EEC"/>
    <w:rsid w:val="00E9301B"/>
    <w:rsid w:val="00E93567"/>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49FB"/>
    <w:rsid w:val="00EA5CF6"/>
    <w:rsid w:val="00EA5D95"/>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4A41"/>
    <w:rsid w:val="00EC56EB"/>
    <w:rsid w:val="00EC74A8"/>
    <w:rsid w:val="00EC7539"/>
    <w:rsid w:val="00EC7862"/>
    <w:rsid w:val="00EC78C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A64"/>
    <w:rsid w:val="00EF7EC2"/>
    <w:rsid w:val="00F00591"/>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5F7B"/>
    <w:rsid w:val="00F165BF"/>
    <w:rsid w:val="00F17044"/>
    <w:rsid w:val="00F1748C"/>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B4E"/>
    <w:rsid w:val="00F2706B"/>
    <w:rsid w:val="00F274FD"/>
    <w:rsid w:val="00F30582"/>
    <w:rsid w:val="00F30968"/>
    <w:rsid w:val="00F311D3"/>
    <w:rsid w:val="00F3142C"/>
    <w:rsid w:val="00F318AE"/>
    <w:rsid w:val="00F32852"/>
    <w:rsid w:val="00F32D9E"/>
    <w:rsid w:val="00F33320"/>
    <w:rsid w:val="00F34156"/>
    <w:rsid w:val="00F3434A"/>
    <w:rsid w:val="00F3435E"/>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CD4"/>
    <w:rsid w:val="00F51E73"/>
    <w:rsid w:val="00F51F24"/>
    <w:rsid w:val="00F522A1"/>
    <w:rsid w:val="00F53253"/>
    <w:rsid w:val="00F533A3"/>
    <w:rsid w:val="00F534BD"/>
    <w:rsid w:val="00F535A2"/>
    <w:rsid w:val="00F53B72"/>
    <w:rsid w:val="00F53BC0"/>
    <w:rsid w:val="00F55319"/>
    <w:rsid w:val="00F5606F"/>
    <w:rsid w:val="00F562ED"/>
    <w:rsid w:val="00F56873"/>
    <w:rsid w:val="00F569AD"/>
    <w:rsid w:val="00F56C59"/>
    <w:rsid w:val="00F56E8B"/>
    <w:rsid w:val="00F578B7"/>
    <w:rsid w:val="00F60279"/>
    <w:rsid w:val="00F609BB"/>
    <w:rsid w:val="00F6148A"/>
    <w:rsid w:val="00F6190C"/>
    <w:rsid w:val="00F61EC6"/>
    <w:rsid w:val="00F62579"/>
    <w:rsid w:val="00F62960"/>
    <w:rsid w:val="00F62E72"/>
    <w:rsid w:val="00F63D36"/>
    <w:rsid w:val="00F64431"/>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E2B"/>
    <w:rsid w:val="00F941A1"/>
    <w:rsid w:val="00F944D5"/>
    <w:rsid w:val="00F94662"/>
    <w:rsid w:val="00F94CD3"/>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211"/>
    <w:rsid w:val="00FB05A4"/>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B87"/>
    <w:rsid w:val="00FD0697"/>
    <w:rsid w:val="00FD0EDA"/>
    <w:rsid w:val="00FD2727"/>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09499676">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1969048571">
          <w:marLeft w:val="360"/>
          <w:marRight w:val="0"/>
          <w:marTop w:val="200"/>
          <w:marBottom w:val="0"/>
          <w:divBdr>
            <w:top w:val="none" w:sz="0" w:space="0" w:color="auto"/>
            <w:left w:val="none" w:sz="0" w:space="0" w:color="auto"/>
            <w:bottom w:val="none" w:sz="0" w:space="0" w:color="auto"/>
            <w:right w:val="none" w:sz="0" w:space="0" w:color="auto"/>
          </w:divBdr>
        </w:div>
        <w:div w:id="22419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D78BB-8EF2-4AC0-8E09-8056F0685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5</Pages>
  <Words>1985</Words>
  <Characters>11319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13278</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2</cp:revision>
  <cp:lastPrinted>2010-01-07T15:23:00Z</cp:lastPrinted>
  <dcterms:created xsi:type="dcterms:W3CDTF">2019-11-07T23:00:00Z</dcterms:created>
  <dcterms:modified xsi:type="dcterms:W3CDTF">2019-11-07T23:00:00Z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